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728"/>
        <w:gridCol w:w="990"/>
        <w:gridCol w:w="3525"/>
      </w:tblGrid>
      <w:tr w:rsidR="00BB3CA2" w:rsidRPr="00E80661" w14:paraId="5C55BB90" w14:textId="77777777" w:rsidTr="00E31F2D">
        <w:tc>
          <w:tcPr>
            <w:tcW w:w="4728" w:type="dxa"/>
          </w:tcPr>
          <w:p w14:paraId="5C55BB8D" w14:textId="77777777" w:rsidR="00BB3CA2" w:rsidRPr="00E80661" w:rsidRDefault="0067702D" w:rsidP="005B2CFF">
            <w:pPr>
              <w:rPr>
                <w:rFonts w:eastAsia="Arial Unicode MS"/>
                <w:szCs w:val="22"/>
              </w:rPr>
            </w:pPr>
            <w:bookmarkStart w:id="0" w:name="_GoBack"/>
            <w:bookmarkEnd w:id="0"/>
            <w:r w:rsidRPr="00E80661">
              <w:rPr>
                <w:noProof/>
                <w:lang w:eastAsia="en-GB"/>
              </w:rPr>
              <w:drawing>
                <wp:inline distT="0" distB="0" distL="0" distR="0" wp14:anchorId="5C55BE03" wp14:editId="5C55BE04">
                  <wp:extent cx="1800000" cy="1559259"/>
                  <wp:effectExtent l="0" t="0" r="0" b="3175"/>
                  <wp:docPr id="3" name="Picture 3" descr="C:\Users\mreg\Music\_New CoR logo\New LOGO CoR\Logo\logo_CoR-vertical-positive-en-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_New CoR logo\New LOGO CoR\Logo\logo_CoR-vertical-positive-en-quadri_M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0" cy="1559259"/>
                          </a:xfrm>
                          <a:prstGeom prst="rect">
                            <a:avLst/>
                          </a:prstGeom>
                          <a:noFill/>
                          <a:ln>
                            <a:noFill/>
                          </a:ln>
                        </pic:spPr>
                      </pic:pic>
                    </a:graphicData>
                  </a:graphic>
                </wp:inline>
              </w:drawing>
            </w:r>
          </w:p>
        </w:tc>
        <w:tc>
          <w:tcPr>
            <w:tcW w:w="990" w:type="dxa"/>
          </w:tcPr>
          <w:p w14:paraId="5C55BB8E" w14:textId="77777777" w:rsidR="00BB3CA2" w:rsidRPr="00E80661" w:rsidRDefault="00BB3CA2" w:rsidP="005B2CFF">
            <w:pPr>
              <w:rPr>
                <w:szCs w:val="22"/>
              </w:rPr>
            </w:pPr>
          </w:p>
        </w:tc>
        <w:tc>
          <w:tcPr>
            <w:tcW w:w="3525" w:type="dxa"/>
          </w:tcPr>
          <w:p w14:paraId="5C55BB8F" w14:textId="77777777" w:rsidR="00BB3CA2" w:rsidRPr="00E80661" w:rsidRDefault="00BB3CA2" w:rsidP="005B2CFF">
            <w:pPr>
              <w:jc w:val="center"/>
              <w:rPr>
                <w:b/>
                <w:bCs/>
                <w:szCs w:val="22"/>
              </w:rPr>
            </w:pPr>
          </w:p>
        </w:tc>
      </w:tr>
    </w:tbl>
    <w:p w14:paraId="5C55BB91" w14:textId="77777777" w:rsidR="00BB3CA2" w:rsidRPr="00E80661" w:rsidRDefault="002D22DF" w:rsidP="005B2CFF">
      <w:pPr>
        <w:rPr>
          <w:szCs w:val="22"/>
        </w:rPr>
      </w:pPr>
      <w:r w:rsidRPr="00E80661">
        <w:rPr>
          <w:noProof/>
          <w:szCs w:val="22"/>
          <w:lang w:eastAsia="en-GB"/>
        </w:rPr>
        <mc:AlternateContent>
          <mc:Choice Requires="wps">
            <w:drawing>
              <wp:anchor distT="0" distB="0" distL="114300" distR="114300" simplePos="0" relativeHeight="251658240" behindDoc="1" locked="0" layoutInCell="0" allowOverlap="1" wp14:anchorId="5C55BE05" wp14:editId="5C55BE06">
                <wp:simplePos x="0" y="0"/>
                <wp:positionH relativeFrom="page">
                  <wp:posOffset>6769100</wp:posOffset>
                </wp:positionH>
                <wp:positionV relativeFrom="page">
                  <wp:posOffset>10081260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5BE81" w14:textId="77777777" w:rsidR="00AB2D70" w:rsidRPr="005B2CFF" w:rsidRDefault="00AB2D70" w:rsidP="005B2CFF">
                            <w:pPr>
                              <w:jc w:val="center"/>
                              <w:rPr>
                                <w:rFonts w:ascii="Arial" w:hAnsi="Arial" w:cs="Arial"/>
                                <w:b/>
                                <w:sz w:val="48"/>
                                <w:lang w:val="nl-BE"/>
                              </w:rPr>
                            </w:pPr>
                            <w:r w:rsidRPr="005B2CFF">
                              <w:rPr>
                                <w:rFonts w:ascii="Arial" w:hAnsi="Arial" w:cs="Arial"/>
                                <w:b/>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AXC4b3tQIAALgF&#10;AAAOAAAAAAAAAAAAAAAAAC4CAABkcnMvZTJvRG9jLnhtbFBLAQItABQABgAIAAAAIQDrVDFa3gAA&#10;AA8BAAAPAAAAAAAAAAAAAAAAAA8FAABkcnMvZG93bnJldi54bWxQSwUGAAAAAAQABADzAAAAGgYA&#10;AAAA&#10;">
                <v:textbox>
                  <w:txbxContent>
                    <w:p w:rsidRPr="005B2CFF" w:rsidR="00AB2D70" w:rsidP="005B2CFF" w:rsidRDefault="00AB2D70" w14:paraId="5C55BE81" w14:textId="77777777">
                      <w:pPr>
                        <w:jc w:val="center"/>
                        <w:rPr>
                          <w:rFonts w:ascii="Arial" w:hAnsi="Arial" w:cs="Arial"/>
                          <w:b/>
                          <w:sz w:val="48"/>
                          <w:lang w:val="nl-BE"/>
                        </w:rPr>
                      </w:pPr>
                      <w:r w:rsidRPr="005B2CFF">
                        <w:rPr>
                          <w:rFonts w:ascii="Arial" w:hAnsi="Arial" w:cs="Arial"/>
                          <w:b/>
                          <w:sz w:val="48"/>
                          <w:lang w:val="nl-BE"/>
                        </w:rPr>
                        <w:t>EN</w:t>
                      </w:r>
                    </w:p>
                  </w:txbxContent>
                </v:textbox>
                <w10:wrap anchorx="page" anchory="page"/>
              </v:shape>
            </w:pict>
          </mc:Fallback>
        </mc:AlternateContent>
      </w:r>
    </w:p>
    <w:p w14:paraId="5C55BB92" w14:textId="77777777" w:rsidR="00BB3CA2" w:rsidRPr="00E80661" w:rsidRDefault="00BB3CA2" w:rsidP="005B2CFF">
      <w:pPr>
        <w:rPr>
          <w:szCs w:val="22"/>
        </w:rPr>
      </w:pPr>
    </w:p>
    <w:p w14:paraId="5C55BB93" w14:textId="77777777" w:rsidR="00BB3CA2" w:rsidRPr="00E80661" w:rsidRDefault="00BB3CA2" w:rsidP="005B2CFF">
      <w:pPr>
        <w:jc w:val="center"/>
        <w:rPr>
          <w:b/>
          <w:szCs w:val="22"/>
        </w:rPr>
      </w:pPr>
    </w:p>
    <w:p w14:paraId="5C55BB94" w14:textId="77777777" w:rsidR="00BB3CA2" w:rsidRPr="00E80661" w:rsidRDefault="00BB3CA2" w:rsidP="005B2CFF">
      <w:pPr>
        <w:tabs>
          <w:tab w:val="right" w:pos="9027"/>
        </w:tabs>
        <w:jc w:val="center"/>
        <w:rPr>
          <w:szCs w:val="22"/>
        </w:rPr>
      </w:pPr>
    </w:p>
    <w:p w14:paraId="5C55BB95" w14:textId="77777777" w:rsidR="00F26391" w:rsidRPr="00E80661" w:rsidRDefault="00F26391" w:rsidP="005B2CFF">
      <w:pPr>
        <w:tabs>
          <w:tab w:val="right" w:pos="9027"/>
        </w:tabs>
        <w:jc w:val="center"/>
        <w:rPr>
          <w:szCs w:val="22"/>
        </w:rPr>
      </w:pPr>
    </w:p>
    <w:p w14:paraId="5C55BB96" w14:textId="77777777" w:rsidR="00F26391" w:rsidRPr="00E80661" w:rsidRDefault="00F26391" w:rsidP="005B2CFF">
      <w:pPr>
        <w:tabs>
          <w:tab w:val="right" w:pos="9027"/>
        </w:tabs>
        <w:jc w:val="center"/>
        <w:rPr>
          <w:szCs w:val="22"/>
        </w:rPr>
      </w:pPr>
    </w:p>
    <w:p w14:paraId="5C55BB97" w14:textId="77777777" w:rsidR="00F26391" w:rsidRPr="00E80661" w:rsidRDefault="00F26391" w:rsidP="005B2CFF">
      <w:pPr>
        <w:tabs>
          <w:tab w:val="right" w:pos="9027"/>
        </w:tabs>
        <w:jc w:val="center"/>
        <w:rPr>
          <w:szCs w:val="22"/>
        </w:rPr>
      </w:pPr>
    </w:p>
    <w:p w14:paraId="5C55BB98" w14:textId="77777777" w:rsidR="00F26391" w:rsidRPr="00E80661" w:rsidRDefault="00F26391" w:rsidP="005B2CFF">
      <w:pPr>
        <w:tabs>
          <w:tab w:val="right" w:pos="9027"/>
        </w:tabs>
        <w:jc w:val="center"/>
        <w:rPr>
          <w:szCs w:val="22"/>
        </w:rPr>
      </w:pPr>
    </w:p>
    <w:p w14:paraId="5C55BB99" w14:textId="77777777" w:rsidR="002D22DF" w:rsidRPr="00E80661" w:rsidRDefault="002D22DF" w:rsidP="005B2CFF">
      <w:pPr>
        <w:rPr>
          <w:szCs w:val="22"/>
        </w:rPr>
      </w:pPr>
    </w:p>
    <w:tbl>
      <w:tblPr>
        <w:tblW w:w="0" w:type="auto"/>
        <w:tblLayout w:type="fixed"/>
        <w:tblLook w:val="0000" w:firstRow="0" w:lastRow="0" w:firstColumn="0" w:lastColumn="0" w:noHBand="0" w:noVBand="0"/>
      </w:tblPr>
      <w:tblGrid>
        <w:gridCol w:w="9243"/>
      </w:tblGrid>
      <w:tr w:rsidR="002D22DF" w:rsidRPr="00E80661" w14:paraId="5C55BB9D" w14:textId="77777777" w:rsidTr="00E30AD8">
        <w:tc>
          <w:tcPr>
            <w:tcW w:w="9243" w:type="dxa"/>
          </w:tcPr>
          <w:p w14:paraId="5C55BB9A" w14:textId="77777777" w:rsidR="002D22DF" w:rsidRPr="00E80661" w:rsidRDefault="002D22DF" w:rsidP="005B2CFF">
            <w:pPr>
              <w:jc w:val="center"/>
              <w:rPr>
                <w:b/>
                <w:szCs w:val="22"/>
              </w:rPr>
            </w:pPr>
            <w:r w:rsidRPr="00E80661">
              <w:rPr>
                <w:b/>
                <w:szCs w:val="22"/>
              </w:rPr>
              <w:t xml:space="preserve">ANNUAL IMPACT REPORT </w:t>
            </w:r>
          </w:p>
          <w:p w14:paraId="5C55BB9B" w14:textId="77777777" w:rsidR="002D22DF" w:rsidRPr="00E80661" w:rsidRDefault="002D22DF" w:rsidP="005B2CFF">
            <w:pPr>
              <w:jc w:val="center"/>
              <w:rPr>
                <w:b/>
                <w:szCs w:val="22"/>
              </w:rPr>
            </w:pPr>
          </w:p>
          <w:p w14:paraId="5C55BB9C" w14:textId="77777777" w:rsidR="002D22DF" w:rsidRPr="00E80661" w:rsidRDefault="0067702D" w:rsidP="0067702D">
            <w:pPr>
              <w:jc w:val="center"/>
              <w:rPr>
                <w:b/>
                <w:bCs/>
                <w:szCs w:val="22"/>
              </w:rPr>
            </w:pPr>
            <w:r w:rsidRPr="00E80661">
              <w:rPr>
                <w:b/>
                <w:szCs w:val="22"/>
              </w:rPr>
              <w:t>2016</w:t>
            </w:r>
          </w:p>
        </w:tc>
      </w:tr>
    </w:tbl>
    <w:p w14:paraId="5C55BB9E" w14:textId="77777777" w:rsidR="002D22DF" w:rsidRPr="00E80661" w:rsidRDefault="002D22DF" w:rsidP="005B2CFF">
      <w:pPr>
        <w:jc w:val="left"/>
        <w:rPr>
          <w:szCs w:val="22"/>
        </w:rPr>
      </w:pPr>
    </w:p>
    <w:p w14:paraId="5C55BB9F" w14:textId="77777777" w:rsidR="002D22DF" w:rsidRPr="00E80661" w:rsidRDefault="002D22DF" w:rsidP="005B2CFF">
      <w:pPr>
        <w:jc w:val="left"/>
        <w:rPr>
          <w:szCs w:val="22"/>
        </w:rPr>
      </w:pPr>
    </w:p>
    <w:p w14:paraId="5C55BBA0" w14:textId="77777777" w:rsidR="002D22DF" w:rsidRPr="00E80661" w:rsidRDefault="002D22DF" w:rsidP="005B2CFF">
      <w:pPr>
        <w:jc w:val="left"/>
        <w:rPr>
          <w:szCs w:val="22"/>
        </w:rPr>
      </w:pPr>
    </w:p>
    <w:p w14:paraId="5C55BBA1" w14:textId="77777777" w:rsidR="002D22DF" w:rsidRPr="00E80661" w:rsidRDefault="002D22DF" w:rsidP="005B2CFF">
      <w:pPr>
        <w:jc w:val="left"/>
        <w:rPr>
          <w:szCs w:val="22"/>
        </w:rPr>
      </w:pPr>
    </w:p>
    <w:p w14:paraId="5C55BBA2" w14:textId="77777777" w:rsidR="002D22DF" w:rsidRPr="00E80661" w:rsidRDefault="002D22DF" w:rsidP="005B2CFF">
      <w:pPr>
        <w:jc w:val="left"/>
        <w:rPr>
          <w:szCs w:val="22"/>
        </w:rPr>
      </w:pPr>
    </w:p>
    <w:p w14:paraId="5C55BBA3" w14:textId="77777777" w:rsidR="002D22DF" w:rsidRPr="00E80661" w:rsidRDefault="002D22DF" w:rsidP="005B2CFF">
      <w:pPr>
        <w:jc w:val="left"/>
        <w:rPr>
          <w:szCs w:val="22"/>
        </w:rPr>
      </w:pPr>
    </w:p>
    <w:p w14:paraId="5C55BBA4" w14:textId="77777777" w:rsidR="002D22DF" w:rsidRPr="00E80661" w:rsidRDefault="002D22DF" w:rsidP="005B2CFF">
      <w:pPr>
        <w:jc w:val="left"/>
        <w:rPr>
          <w:szCs w:val="22"/>
        </w:rPr>
      </w:pPr>
    </w:p>
    <w:p w14:paraId="5C55BBA5" w14:textId="77777777" w:rsidR="002D22DF" w:rsidRPr="00E80661" w:rsidRDefault="002D22DF" w:rsidP="005B2CFF">
      <w:pPr>
        <w:jc w:val="left"/>
        <w:rPr>
          <w:szCs w:val="22"/>
        </w:rPr>
      </w:pPr>
    </w:p>
    <w:p w14:paraId="5C55BBA6" w14:textId="77777777" w:rsidR="002D22DF" w:rsidRPr="00E80661" w:rsidRDefault="002D22DF" w:rsidP="005B2CFF">
      <w:pPr>
        <w:rPr>
          <w:szCs w:val="22"/>
        </w:rPr>
      </w:pPr>
    </w:p>
    <w:p w14:paraId="5C55BBA7" w14:textId="77777777" w:rsidR="002D22DF" w:rsidRPr="00E80661" w:rsidRDefault="002D22DF" w:rsidP="005B2CFF">
      <w:pPr>
        <w:tabs>
          <w:tab w:val="left" w:pos="440"/>
        </w:tabs>
        <w:ind w:left="440" w:hanging="440"/>
        <w:rPr>
          <w:szCs w:val="22"/>
        </w:rPr>
        <w:sectPr w:rsidR="002D22DF" w:rsidRPr="00E80661" w:rsidSect="005B2CFF">
          <w:headerReference w:type="default" r:id="rId13"/>
          <w:footerReference w:type="default" r:id="rId14"/>
          <w:footerReference w:type="first" r:id="rId15"/>
          <w:pgSz w:w="11907" w:h="16839" w:code="9"/>
          <w:pgMar w:top="567" w:right="1440" w:bottom="1701" w:left="1440" w:header="1020" w:footer="1134" w:gutter="0"/>
          <w:pgNumType w:start="0"/>
          <w:cols w:space="720"/>
          <w:titlePg/>
          <w:docGrid w:linePitch="299"/>
        </w:sectPr>
      </w:pPr>
    </w:p>
    <w:p w14:paraId="5C55BBA8" w14:textId="77777777" w:rsidR="00AA127F" w:rsidRPr="00E80661" w:rsidRDefault="002D22DF" w:rsidP="005B2CFF">
      <w:pPr>
        <w:keepNext/>
        <w:keepLines/>
        <w:overflowPunct/>
        <w:adjustRightInd/>
        <w:spacing w:before="480"/>
        <w:jc w:val="center"/>
        <w:textAlignment w:val="auto"/>
        <w:rPr>
          <w:szCs w:val="22"/>
        </w:rPr>
      </w:pPr>
      <w:r w:rsidRPr="00E80661">
        <w:rPr>
          <w:szCs w:val="22"/>
        </w:rPr>
        <w:lastRenderedPageBreak/>
        <w:t>Table of Contents</w:t>
      </w:r>
    </w:p>
    <w:p w14:paraId="5C55BBA9" w14:textId="77777777" w:rsidR="00AA127F" w:rsidRPr="00E80661" w:rsidRDefault="00AA127F" w:rsidP="005B2CFF">
      <w:pPr>
        <w:keepNext/>
        <w:keepLines/>
        <w:overflowPunct/>
        <w:adjustRightInd/>
        <w:spacing w:before="480"/>
        <w:jc w:val="center"/>
        <w:textAlignment w:val="auto"/>
        <w:rPr>
          <w:szCs w:val="22"/>
        </w:rPr>
      </w:pPr>
    </w:p>
    <w:p w14:paraId="5C55BBAA" w14:textId="77777777" w:rsidR="002D22DF" w:rsidRPr="00E80661" w:rsidRDefault="002D22DF" w:rsidP="005B2CFF">
      <w:pPr>
        <w:jc w:val="center"/>
        <w:rPr>
          <w:szCs w:val="22"/>
          <w:u w:val="single"/>
        </w:rPr>
      </w:pPr>
      <w:r w:rsidRPr="00E80661">
        <w:rPr>
          <w:szCs w:val="22"/>
          <w:u w:val="single"/>
        </w:rPr>
        <w:t>Impact analysis of CoR opinions in major fields of political activity</w:t>
      </w:r>
    </w:p>
    <w:p w14:paraId="5C55BBAB" w14:textId="77777777" w:rsidR="00AA127F" w:rsidRPr="00E80661" w:rsidRDefault="00AA127F" w:rsidP="005B2CFF">
      <w:pPr>
        <w:jc w:val="center"/>
        <w:rPr>
          <w:szCs w:val="22"/>
          <w:u w:val="single"/>
        </w:rPr>
      </w:pPr>
    </w:p>
    <w:p w14:paraId="5C55BBAC" w14:textId="77777777" w:rsidR="00AA127F" w:rsidRPr="00E80661" w:rsidRDefault="00AA127F" w:rsidP="005B2CFF">
      <w:pPr>
        <w:jc w:val="center"/>
        <w:rPr>
          <w:rFonts w:eastAsia="Arial Unicode MS"/>
          <w:szCs w:val="22"/>
        </w:rPr>
      </w:pPr>
    </w:p>
    <w:p w14:paraId="5C55BBAD" w14:textId="77777777" w:rsidR="002D22DF" w:rsidRPr="00E80661" w:rsidRDefault="002D22DF" w:rsidP="005B2CFF">
      <w:pPr>
        <w:rPr>
          <w:rFonts w:eastAsia="Arial Unicode MS"/>
          <w:szCs w:val="22"/>
        </w:rPr>
      </w:pPr>
    </w:p>
    <w:p w14:paraId="0D38A8AB" w14:textId="12F5D09F" w:rsidR="00245F1F" w:rsidRPr="00E80661" w:rsidRDefault="002D22DF">
      <w:pPr>
        <w:pStyle w:val="TOC1"/>
        <w:rPr>
          <w:rFonts w:asciiTheme="minorHAnsi" w:eastAsiaTheme="minorEastAsia" w:hAnsiTheme="minorHAnsi" w:cstheme="minorBidi"/>
          <w:noProof/>
          <w:szCs w:val="22"/>
          <w:lang w:eastAsia="fr-BE"/>
        </w:rPr>
      </w:pPr>
      <w:r w:rsidRPr="00E80661">
        <w:rPr>
          <w:szCs w:val="22"/>
        </w:rPr>
        <w:fldChar w:fldCharType="begin"/>
      </w:r>
      <w:r w:rsidRPr="00E80661">
        <w:rPr>
          <w:szCs w:val="22"/>
        </w:rPr>
        <w:instrText xml:space="preserve"> TOC \o "1-3" \h \z \u </w:instrText>
      </w:r>
      <w:r w:rsidRPr="00E80661">
        <w:rPr>
          <w:szCs w:val="22"/>
        </w:rPr>
        <w:fldChar w:fldCharType="separate"/>
      </w:r>
      <w:hyperlink w:anchor="_Toc486243268" w:history="1">
        <w:r w:rsidR="00245F1F" w:rsidRPr="00E80661">
          <w:rPr>
            <w:rStyle w:val="Hyperlink"/>
            <w:b/>
            <w:noProof/>
          </w:rPr>
          <w:t>Methodology and interinstitutional initiatives and follow-up</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_Toc486243268 \h </w:instrText>
        </w:r>
        <w:r w:rsidR="00245F1F" w:rsidRPr="00E80661">
          <w:rPr>
            <w:noProof/>
            <w:webHidden/>
          </w:rPr>
        </w:r>
        <w:r w:rsidR="00245F1F" w:rsidRPr="00E80661">
          <w:rPr>
            <w:noProof/>
            <w:webHidden/>
          </w:rPr>
          <w:fldChar w:fldCharType="separate"/>
        </w:r>
        <w:r w:rsidR="00E80661">
          <w:rPr>
            <w:noProof/>
            <w:webHidden/>
          </w:rPr>
          <w:t>1</w:t>
        </w:r>
        <w:r w:rsidR="00245F1F" w:rsidRPr="00E80661">
          <w:rPr>
            <w:noProof/>
            <w:webHidden/>
          </w:rPr>
          <w:fldChar w:fldCharType="end"/>
        </w:r>
      </w:hyperlink>
    </w:p>
    <w:p w14:paraId="51AB5693" w14:textId="77777777" w:rsidR="00245F1F" w:rsidRPr="00E80661" w:rsidRDefault="00BE7F1F">
      <w:pPr>
        <w:pStyle w:val="TOC1"/>
        <w:rPr>
          <w:rFonts w:asciiTheme="minorHAnsi" w:eastAsiaTheme="minorEastAsia" w:hAnsiTheme="minorHAnsi" w:cstheme="minorBidi"/>
          <w:noProof/>
          <w:szCs w:val="22"/>
          <w:lang w:eastAsia="fr-BE"/>
        </w:rPr>
      </w:pPr>
      <w:hyperlink w:anchor="_Toc486243269" w:history="1">
        <w:r w:rsidR="00245F1F" w:rsidRPr="00E80661">
          <w:rPr>
            <w:rStyle w:val="Hyperlink"/>
            <w:b/>
            <w:noProof/>
          </w:rPr>
          <w:t>Analysis of the impact of CoR opinions in major fields of political activity</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_Toc486243269 \h </w:instrText>
        </w:r>
        <w:r w:rsidR="00245F1F" w:rsidRPr="00E80661">
          <w:rPr>
            <w:noProof/>
            <w:webHidden/>
          </w:rPr>
        </w:r>
        <w:r w:rsidR="00245F1F" w:rsidRPr="00E80661">
          <w:rPr>
            <w:noProof/>
            <w:webHidden/>
          </w:rPr>
          <w:fldChar w:fldCharType="separate"/>
        </w:r>
        <w:r w:rsidR="00E80661">
          <w:rPr>
            <w:noProof/>
            <w:webHidden/>
          </w:rPr>
          <w:t>5</w:t>
        </w:r>
        <w:r w:rsidR="00245F1F" w:rsidRPr="00E80661">
          <w:rPr>
            <w:noProof/>
            <w:webHidden/>
          </w:rPr>
          <w:fldChar w:fldCharType="end"/>
        </w:r>
      </w:hyperlink>
    </w:p>
    <w:p w14:paraId="352536EB" w14:textId="77777777" w:rsidR="00245F1F" w:rsidRPr="00E80661" w:rsidRDefault="00BE7F1F">
      <w:pPr>
        <w:pStyle w:val="TOC1"/>
        <w:rPr>
          <w:rFonts w:asciiTheme="minorHAnsi" w:eastAsiaTheme="minorEastAsia" w:hAnsiTheme="minorHAnsi" w:cstheme="minorBidi"/>
          <w:noProof/>
          <w:szCs w:val="22"/>
          <w:lang w:eastAsia="fr-BE"/>
        </w:rPr>
      </w:pPr>
      <w:hyperlink w:anchor="_Toc486243270" w:history="1">
        <w:r w:rsidR="00245F1F" w:rsidRPr="00E80661">
          <w:rPr>
            <w:rStyle w:val="Hyperlink"/>
            <w:b/>
            <w:noProof/>
          </w:rPr>
          <w:t>1.</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Economic and monetary policy</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_Toc486243270 \h </w:instrText>
        </w:r>
        <w:r w:rsidR="00245F1F" w:rsidRPr="00E80661">
          <w:rPr>
            <w:noProof/>
            <w:webHidden/>
          </w:rPr>
        </w:r>
        <w:r w:rsidR="00245F1F" w:rsidRPr="00E80661">
          <w:rPr>
            <w:noProof/>
            <w:webHidden/>
          </w:rPr>
          <w:fldChar w:fldCharType="separate"/>
        </w:r>
        <w:r w:rsidR="00E80661">
          <w:rPr>
            <w:noProof/>
            <w:webHidden/>
          </w:rPr>
          <w:t>5</w:t>
        </w:r>
        <w:r w:rsidR="00245F1F" w:rsidRPr="00E80661">
          <w:rPr>
            <w:noProof/>
            <w:webHidden/>
          </w:rPr>
          <w:fldChar w:fldCharType="end"/>
        </w:r>
      </w:hyperlink>
    </w:p>
    <w:p w14:paraId="6FB8B653" w14:textId="77777777" w:rsidR="00245F1F" w:rsidRPr="00E80661" w:rsidRDefault="00BE7F1F">
      <w:pPr>
        <w:pStyle w:val="TOC2"/>
        <w:tabs>
          <w:tab w:val="left" w:pos="880"/>
          <w:tab w:val="right" w:leader="dot" w:pos="9016"/>
        </w:tabs>
        <w:rPr>
          <w:rFonts w:asciiTheme="minorHAnsi" w:eastAsiaTheme="minorEastAsia" w:hAnsiTheme="minorHAnsi" w:cstheme="minorBidi"/>
          <w:noProof/>
          <w:szCs w:val="22"/>
          <w:lang w:eastAsia="fr-BE"/>
        </w:rPr>
      </w:pPr>
      <w:hyperlink w:anchor="_Toc486243271" w:history="1">
        <w:r w:rsidR="00245F1F" w:rsidRPr="00E80661">
          <w:rPr>
            <w:rStyle w:val="Hyperlink"/>
            <w:b/>
            <w:noProof/>
          </w:rPr>
          <w:t>1.1</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Economic governance, European Semester and Economic and Monetary Union</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_Toc486243271 \h </w:instrText>
        </w:r>
        <w:r w:rsidR="00245F1F" w:rsidRPr="00E80661">
          <w:rPr>
            <w:noProof/>
            <w:webHidden/>
          </w:rPr>
        </w:r>
        <w:r w:rsidR="00245F1F" w:rsidRPr="00E80661">
          <w:rPr>
            <w:noProof/>
            <w:webHidden/>
          </w:rPr>
          <w:fldChar w:fldCharType="separate"/>
        </w:r>
        <w:r w:rsidR="00E80661">
          <w:rPr>
            <w:noProof/>
            <w:webHidden/>
          </w:rPr>
          <w:t>5</w:t>
        </w:r>
        <w:r w:rsidR="00245F1F" w:rsidRPr="00E80661">
          <w:rPr>
            <w:noProof/>
            <w:webHidden/>
          </w:rPr>
          <w:fldChar w:fldCharType="end"/>
        </w:r>
      </w:hyperlink>
    </w:p>
    <w:p w14:paraId="1C379001" w14:textId="508BB335" w:rsidR="00245F1F" w:rsidRPr="00E80661" w:rsidRDefault="00BE7F1F">
      <w:pPr>
        <w:pStyle w:val="TOC2"/>
        <w:tabs>
          <w:tab w:val="left" w:pos="880"/>
          <w:tab w:val="right" w:leader="dot" w:pos="9016"/>
        </w:tabs>
        <w:rPr>
          <w:rFonts w:asciiTheme="minorHAnsi" w:eastAsiaTheme="minorEastAsia" w:hAnsiTheme="minorHAnsi" w:cstheme="minorBidi"/>
          <w:noProof/>
          <w:szCs w:val="22"/>
          <w:lang w:eastAsia="fr-BE"/>
        </w:rPr>
      </w:pPr>
      <w:hyperlink w:anchor="_Toc486243272" w:history="1">
        <w:r w:rsidR="00245F1F" w:rsidRPr="00E80661">
          <w:rPr>
            <w:rStyle w:val="Hyperlink"/>
            <w:b/>
            <w:noProof/>
          </w:rPr>
          <w:t>1.2</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 xml:space="preserve">Single Market and </w:t>
        </w:r>
        <w:r w:rsidR="0046303F" w:rsidRPr="00E80661">
          <w:rPr>
            <w:rStyle w:val="Hyperlink"/>
            <w:b/>
            <w:noProof/>
          </w:rPr>
          <w:t xml:space="preserve">the </w:t>
        </w:r>
        <w:r w:rsidR="00245F1F" w:rsidRPr="00E80661">
          <w:rPr>
            <w:rStyle w:val="Hyperlink"/>
            <w:b/>
            <w:noProof/>
          </w:rPr>
          <w:t>sharing economy</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_Toc486243272 \h </w:instrText>
        </w:r>
        <w:r w:rsidR="00245F1F" w:rsidRPr="00E80661">
          <w:rPr>
            <w:noProof/>
            <w:webHidden/>
          </w:rPr>
        </w:r>
        <w:r w:rsidR="00245F1F" w:rsidRPr="00E80661">
          <w:rPr>
            <w:noProof/>
            <w:webHidden/>
          </w:rPr>
          <w:fldChar w:fldCharType="separate"/>
        </w:r>
        <w:r w:rsidR="00E80661">
          <w:rPr>
            <w:noProof/>
            <w:webHidden/>
          </w:rPr>
          <w:t>6</w:t>
        </w:r>
        <w:r w:rsidR="00245F1F" w:rsidRPr="00E80661">
          <w:rPr>
            <w:noProof/>
            <w:webHidden/>
          </w:rPr>
          <w:fldChar w:fldCharType="end"/>
        </w:r>
      </w:hyperlink>
    </w:p>
    <w:p w14:paraId="1A9C47F6" w14:textId="77777777" w:rsidR="00245F1F" w:rsidRPr="00E80661" w:rsidRDefault="00BE7F1F">
      <w:pPr>
        <w:pStyle w:val="TOC2"/>
        <w:tabs>
          <w:tab w:val="left" w:pos="880"/>
          <w:tab w:val="right" w:leader="dot" w:pos="9016"/>
        </w:tabs>
        <w:rPr>
          <w:rFonts w:asciiTheme="minorHAnsi" w:eastAsiaTheme="minorEastAsia" w:hAnsiTheme="minorHAnsi" w:cstheme="minorBidi"/>
          <w:noProof/>
          <w:szCs w:val="22"/>
          <w:lang w:eastAsia="fr-BE"/>
        </w:rPr>
      </w:pPr>
      <w:hyperlink w:anchor="_Toc486243273" w:history="1">
        <w:r w:rsidR="00245F1F" w:rsidRPr="00E80661">
          <w:rPr>
            <w:rStyle w:val="Hyperlink"/>
            <w:b/>
            <w:noProof/>
          </w:rPr>
          <w:t>1.3</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Jobs and growth</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_Toc486243273 \h </w:instrText>
        </w:r>
        <w:r w:rsidR="00245F1F" w:rsidRPr="00E80661">
          <w:rPr>
            <w:noProof/>
            <w:webHidden/>
          </w:rPr>
        </w:r>
        <w:r w:rsidR="00245F1F" w:rsidRPr="00E80661">
          <w:rPr>
            <w:noProof/>
            <w:webHidden/>
          </w:rPr>
          <w:fldChar w:fldCharType="separate"/>
        </w:r>
        <w:r w:rsidR="00E80661">
          <w:rPr>
            <w:noProof/>
            <w:webHidden/>
          </w:rPr>
          <w:t>7</w:t>
        </w:r>
        <w:r w:rsidR="00245F1F" w:rsidRPr="00E80661">
          <w:rPr>
            <w:noProof/>
            <w:webHidden/>
          </w:rPr>
          <w:fldChar w:fldCharType="end"/>
        </w:r>
      </w:hyperlink>
    </w:p>
    <w:p w14:paraId="78817AC9" w14:textId="77777777" w:rsidR="00245F1F" w:rsidRPr="00E80661" w:rsidRDefault="00BE7F1F">
      <w:pPr>
        <w:pStyle w:val="TOC2"/>
        <w:tabs>
          <w:tab w:val="left" w:pos="880"/>
          <w:tab w:val="right" w:leader="dot" w:pos="9016"/>
        </w:tabs>
        <w:rPr>
          <w:rFonts w:asciiTheme="minorHAnsi" w:eastAsiaTheme="minorEastAsia" w:hAnsiTheme="minorHAnsi" w:cstheme="minorBidi"/>
          <w:noProof/>
          <w:szCs w:val="22"/>
          <w:lang w:eastAsia="fr-BE"/>
        </w:rPr>
      </w:pPr>
      <w:hyperlink w:anchor="_Toc486243274" w:history="1">
        <w:r w:rsidR="00245F1F" w:rsidRPr="00E80661">
          <w:rPr>
            <w:rStyle w:val="Hyperlink"/>
            <w:b/>
            <w:noProof/>
          </w:rPr>
          <w:t>1.4</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Tourism</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_Toc486243274 \h </w:instrText>
        </w:r>
        <w:r w:rsidR="00245F1F" w:rsidRPr="00E80661">
          <w:rPr>
            <w:noProof/>
            <w:webHidden/>
          </w:rPr>
        </w:r>
        <w:r w:rsidR="00245F1F" w:rsidRPr="00E80661">
          <w:rPr>
            <w:noProof/>
            <w:webHidden/>
          </w:rPr>
          <w:fldChar w:fldCharType="separate"/>
        </w:r>
        <w:r w:rsidR="00E80661">
          <w:rPr>
            <w:noProof/>
            <w:webHidden/>
          </w:rPr>
          <w:t>8</w:t>
        </w:r>
        <w:r w:rsidR="00245F1F" w:rsidRPr="00E80661">
          <w:rPr>
            <w:noProof/>
            <w:webHidden/>
          </w:rPr>
          <w:fldChar w:fldCharType="end"/>
        </w:r>
      </w:hyperlink>
    </w:p>
    <w:p w14:paraId="1A5069BB" w14:textId="77777777" w:rsidR="00245F1F" w:rsidRPr="00E80661" w:rsidRDefault="00BE7F1F">
      <w:pPr>
        <w:pStyle w:val="TOC2"/>
        <w:tabs>
          <w:tab w:val="left" w:pos="880"/>
          <w:tab w:val="right" w:leader="dot" w:pos="9016"/>
        </w:tabs>
        <w:rPr>
          <w:rFonts w:asciiTheme="minorHAnsi" w:eastAsiaTheme="minorEastAsia" w:hAnsiTheme="minorHAnsi" w:cstheme="minorBidi"/>
          <w:noProof/>
          <w:szCs w:val="22"/>
          <w:lang w:eastAsia="fr-BE"/>
        </w:rPr>
      </w:pPr>
      <w:hyperlink w:anchor="_Toc486243275" w:history="1">
        <w:r w:rsidR="00245F1F" w:rsidRPr="00E80661">
          <w:rPr>
            <w:rStyle w:val="Hyperlink"/>
            <w:b/>
            <w:noProof/>
          </w:rPr>
          <w:t>1.5</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Entreprise and Industry</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_Toc486243275 \h </w:instrText>
        </w:r>
        <w:r w:rsidR="00245F1F" w:rsidRPr="00E80661">
          <w:rPr>
            <w:noProof/>
            <w:webHidden/>
          </w:rPr>
        </w:r>
        <w:r w:rsidR="00245F1F" w:rsidRPr="00E80661">
          <w:rPr>
            <w:noProof/>
            <w:webHidden/>
          </w:rPr>
          <w:fldChar w:fldCharType="separate"/>
        </w:r>
        <w:r w:rsidR="00E80661">
          <w:rPr>
            <w:noProof/>
            <w:webHidden/>
          </w:rPr>
          <w:t>8</w:t>
        </w:r>
        <w:r w:rsidR="00245F1F" w:rsidRPr="00E80661">
          <w:rPr>
            <w:noProof/>
            <w:webHidden/>
          </w:rPr>
          <w:fldChar w:fldCharType="end"/>
        </w:r>
      </w:hyperlink>
    </w:p>
    <w:p w14:paraId="19F4F664" w14:textId="77777777" w:rsidR="00245F1F" w:rsidRPr="00E80661" w:rsidRDefault="00BE7F1F">
      <w:pPr>
        <w:pStyle w:val="TOC1"/>
        <w:rPr>
          <w:rFonts w:asciiTheme="minorHAnsi" w:eastAsiaTheme="minorEastAsia" w:hAnsiTheme="minorHAnsi" w:cstheme="minorBidi"/>
          <w:noProof/>
          <w:szCs w:val="22"/>
          <w:lang w:eastAsia="fr-BE"/>
        </w:rPr>
      </w:pPr>
      <w:hyperlink w:anchor="_Toc486243276" w:history="1">
        <w:r w:rsidR="00245F1F" w:rsidRPr="00E80661">
          <w:rPr>
            <w:rStyle w:val="Hyperlink"/>
            <w:b/>
            <w:noProof/>
          </w:rPr>
          <w:t>2.</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Regional policy and EU budget</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_Toc486243276 \h </w:instrText>
        </w:r>
        <w:r w:rsidR="00245F1F" w:rsidRPr="00E80661">
          <w:rPr>
            <w:noProof/>
            <w:webHidden/>
          </w:rPr>
        </w:r>
        <w:r w:rsidR="00245F1F" w:rsidRPr="00E80661">
          <w:rPr>
            <w:noProof/>
            <w:webHidden/>
          </w:rPr>
          <w:fldChar w:fldCharType="separate"/>
        </w:r>
        <w:r w:rsidR="00E80661">
          <w:rPr>
            <w:noProof/>
            <w:webHidden/>
          </w:rPr>
          <w:t>10</w:t>
        </w:r>
        <w:r w:rsidR="00245F1F" w:rsidRPr="00E80661">
          <w:rPr>
            <w:noProof/>
            <w:webHidden/>
          </w:rPr>
          <w:fldChar w:fldCharType="end"/>
        </w:r>
      </w:hyperlink>
    </w:p>
    <w:p w14:paraId="659D0A6E" w14:textId="77777777" w:rsidR="00245F1F" w:rsidRPr="00E80661" w:rsidRDefault="00BE7F1F">
      <w:pPr>
        <w:pStyle w:val="TOC2"/>
        <w:tabs>
          <w:tab w:val="left" w:pos="880"/>
          <w:tab w:val="right" w:leader="dot" w:pos="9016"/>
        </w:tabs>
        <w:rPr>
          <w:rFonts w:asciiTheme="minorHAnsi" w:eastAsiaTheme="minorEastAsia" w:hAnsiTheme="minorHAnsi" w:cstheme="minorBidi"/>
          <w:noProof/>
          <w:szCs w:val="22"/>
          <w:lang w:eastAsia="fr-BE"/>
        </w:rPr>
      </w:pPr>
      <w:hyperlink w:anchor="_Toc486243277" w:history="1">
        <w:r w:rsidR="00245F1F" w:rsidRPr="00E80661">
          <w:rPr>
            <w:rStyle w:val="Hyperlink"/>
            <w:b/>
            <w:noProof/>
          </w:rPr>
          <w:t>2.1</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Investment Plan for Europe</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_Toc486243277 \h </w:instrText>
        </w:r>
        <w:r w:rsidR="00245F1F" w:rsidRPr="00E80661">
          <w:rPr>
            <w:noProof/>
            <w:webHidden/>
          </w:rPr>
        </w:r>
        <w:r w:rsidR="00245F1F" w:rsidRPr="00E80661">
          <w:rPr>
            <w:noProof/>
            <w:webHidden/>
          </w:rPr>
          <w:fldChar w:fldCharType="separate"/>
        </w:r>
        <w:r w:rsidR="00E80661">
          <w:rPr>
            <w:noProof/>
            <w:webHidden/>
          </w:rPr>
          <w:t>10</w:t>
        </w:r>
        <w:r w:rsidR="00245F1F" w:rsidRPr="00E80661">
          <w:rPr>
            <w:noProof/>
            <w:webHidden/>
          </w:rPr>
          <w:fldChar w:fldCharType="end"/>
        </w:r>
      </w:hyperlink>
    </w:p>
    <w:p w14:paraId="54A60F54" w14:textId="77777777" w:rsidR="00245F1F" w:rsidRPr="00E80661" w:rsidRDefault="00BE7F1F">
      <w:pPr>
        <w:pStyle w:val="TOC2"/>
        <w:tabs>
          <w:tab w:val="left" w:pos="880"/>
          <w:tab w:val="right" w:leader="dot" w:pos="9016"/>
        </w:tabs>
        <w:rPr>
          <w:rFonts w:asciiTheme="minorHAnsi" w:eastAsiaTheme="minorEastAsia" w:hAnsiTheme="minorHAnsi" w:cstheme="minorBidi"/>
          <w:noProof/>
          <w:szCs w:val="22"/>
          <w:lang w:eastAsia="fr-BE"/>
        </w:rPr>
      </w:pPr>
      <w:hyperlink w:anchor="_Toc486243278" w:history="1">
        <w:r w:rsidR="00245F1F" w:rsidRPr="00E80661">
          <w:rPr>
            <w:rStyle w:val="Hyperlink"/>
            <w:b/>
            <w:noProof/>
          </w:rPr>
          <w:t>2.2</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Simplification of ESIF</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_Toc486243278 \h </w:instrText>
        </w:r>
        <w:r w:rsidR="00245F1F" w:rsidRPr="00E80661">
          <w:rPr>
            <w:noProof/>
            <w:webHidden/>
          </w:rPr>
        </w:r>
        <w:r w:rsidR="00245F1F" w:rsidRPr="00E80661">
          <w:rPr>
            <w:noProof/>
            <w:webHidden/>
          </w:rPr>
          <w:fldChar w:fldCharType="separate"/>
        </w:r>
        <w:r w:rsidR="00E80661">
          <w:rPr>
            <w:noProof/>
            <w:webHidden/>
          </w:rPr>
          <w:t>10</w:t>
        </w:r>
        <w:r w:rsidR="00245F1F" w:rsidRPr="00E80661">
          <w:rPr>
            <w:noProof/>
            <w:webHidden/>
          </w:rPr>
          <w:fldChar w:fldCharType="end"/>
        </w:r>
      </w:hyperlink>
    </w:p>
    <w:p w14:paraId="01A6DC8A" w14:textId="77777777" w:rsidR="00245F1F" w:rsidRPr="00E80661" w:rsidRDefault="00BE7F1F">
      <w:pPr>
        <w:pStyle w:val="TOC2"/>
        <w:tabs>
          <w:tab w:val="left" w:pos="880"/>
          <w:tab w:val="right" w:leader="dot" w:pos="9016"/>
        </w:tabs>
        <w:rPr>
          <w:rFonts w:asciiTheme="minorHAnsi" w:eastAsiaTheme="minorEastAsia" w:hAnsiTheme="minorHAnsi" w:cstheme="minorBidi"/>
          <w:noProof/>
          <w:szCs w:val="22"/>
          <w:lang w:eastAsia="fr-BE"/>
        </w:rPr>
      </w:pPr>
      <w:hyperlink w:anchor="_Toc486243279" w:history="1">
        <w:r w:rsidR="00245F1F" w:rsidRPr="00E80661">
          <w:rPr>
            <w:rStyle w:val="Hyperlink"/>
            <w:b/>
            <w:noProof/>
          </w:rPr>
          <w:t>2.3</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EU Budget</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_Toc486243279 \h </w:instrText>
        </w:r>
        <w:r w:rsidR="00245F1F" w:rsidRPr="00E80661">
          <w:rPr>
            <w:noProof/>
            <w:webHidden/>
          </w:rPr>
        </w:r>
        <w:r w:rsidR="00245F1F" w:rsidRPr="00E80661">
          <w:rPr>
            <w:noProof/>
            <w:webHidden/>
          </w:rPr>
          <w:fldChar w:fldCharType="separate"/>
        </w:r>
        <w:r w:rsidR="00E80661">
          <w:rPr>
            <w:noProof/>
            <w:webHidden/>
          </w:rPr>
          <w:t>11</w:t>
        </w:r>
        <w:r w:rsidR="00245F1F" w:rsidRPr="00E80661">
          <w:rPr>
            <w:noProof/>
            <w:webHidden/>
          </w:rPr>
          <w:fldChar w:fldCharType="end"/>
        </w:r>
      </w:hyperlink>
    </w:p>
    <w:p w14:paraId="7967577F" w14:textId="77777777" w:rsidR="00245F1F" w:rsidRPr="00E80661" w:rsidRDefault="00BE7F1F">
      <w:pPr>
        <w:pStyle w:val="TOC2"/>
        <w:tabs>
          <w:tab w:val="left" w:pos="880"/>
          <w:tab w:val="right" w:leader="dot" w:pos="9016"/>
        </w:tabs>
        <w:rPr>
          <w:rFonts w:asciiTheme="minorHAnsi" w:eastAsiaTheme="minorEastAsia" w:hAnsiTheme="minorHAnsi" w:cstheme="minorBidi"/>
          <w:noProof/>
          <w:szCs w:val="22"/>
          <w:lang w:eastAsia="fr-BE"/>
        </w:rPr>
      </w:pPr>
      <w:hyperlink w:anchor="_Toc486243280" w:history="1">
        <w:r w:rsidR="00245F1F" w:rsidRPr="00E80661">
          <w:rPr>
            <w:rStyle w:val="Hyperlink"/>
            <w:b/>
            <w:noProof/>
          </w:rPr>
          <w:t>2.4</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Regional development indicators</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_Toc486243280 \h </w:instrText>
        </w:r>
        <w:r w:rsidR="00245F1F" w:rsidRPr="00E80661">
          <w:rPr>
            <w:noProof/>
            <w:webHidden/>
          </w:rPr>
        </w:r>
        <w:r w:rsidR="00245F1F" w:rsidRPr="00E80661">
          <w:rPr>
            <w:noProof/>
            <w:webHidden/>
          </w:rPr>
          <w:fldChar w:fldCharType="separate"/>
        </w:r>
        <w:r w:rsidR="00E80661">
          <w:rPr>
            <w:noProof/>
            <w:webHidden/>
          </w:rPr>
          <w:t>12</w:t>
        </w:r>
        <w:r w:rsidR="00245F1F" w:rsidRPr="00E80661">
          <w:rPr>
            <w:noProof/>
            <w:webHidden/>
          </w:rPr>
          <w:fldChar w:fldCharType="end"/>
        </w:r>
      </w:hyperlink>
    </w:p>
    <w:p w14:paraId="0C949A47" w14:textId="77777777" w:rsidR="00245F1F" w:rsidRPr="00E80661" w:rsidRDefault="00BE7F1F">
      <w:pPr>
        <w:pStyle w:val="TOC2"/>
        <w:tabs>
          <w:tab w:val="left" w:pos="880"/>
          <w:tab w:val="right" w:leader="dot" w:pos="9016"/>
        </w:tabs>
        <w:rPr>
          <w:rFonts w:asciiTheme="minorHAnsi" w:eastAsiaTheme="minorEastAsia" w:hAnsiTheme="minorHAnsi" w:cstheme="minorBidi"/>
          <w:noProof/>
          <w:szCs w:val="22"/>
          <w:lang w:eastAsia="fr-BE"/>
        </w:rPr>
      </w:pPr>
      <w:hyperlink w:anchor="_Toc486243281" w:history="1">
        <w:r w:rsidR="00245F1F" w:rsidRPr="00E80661">
          <w:rPr>
            <w:rStyle w:val="Hyperlink"/>
            <w:b/>
            <w:noProof/>
          </w:rPr>
          <w:t>2.5</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Cross-border cooperation</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_Toc486243281 \h </w:instrText>
        </w:r>
        <w:r w:rsidR="00245F1F" w:rsidRPr="00E80661">
          <w:rPr>
            <w:noProof/>
            <w:webHidden/>
          </w:rPr>
        </w:r>
        <w:r w:rsidR="00245F1F" w:rsidRPr="00E80661">
          <w:rPr>
            <w:noProof/>
            <w:webHidden/>
          </w:rPr>
          <w:fldChar w:fldCharType="separate"/>
        </w:r>
        <w:r w:rsidR="00E80661">
          <w:rPr>
            <w:noProof/>
            <w:webHidden/>
          </w:rPr>
          <w:t>13</w:t>
        </w:r>
        <w:r w:rsidR="00245F1F" w:rsidRPr="00E80661">
          <w:rPr>
            <w:noProof/>
            <w:webHidden/>
          </w:rPr>
          <w:fldChar w:fldCharType="end"/>
        </w:r>
      </w:hyperlink>
    </w:p>
    <w:p w14:paraId="3BEF4D77" w14:textId="7B5117E9" w:rsidR="00245F1F" w:rsidRPr="00E80661" w:rsidRDefault="00BE7F1F">
      <w:pPr>
        <w:pStyle w:val="TOC2"/>
        <w:tabs>
          <w:tab w:val="left" w:pos="880"/>
          <w:tab w:val="right" w:leader="dot" w:pos="9016"/>
        </w:tabs>
        <w:rPr>
          <w:rFonts w:asciiTheme="minorHAnsi" w:eastAsiaTheme="minorEastAsia" w:hAnsiTheme="minorHAnsi" w:cstheme="minorBidi"/>
          <w:noProof/>
          <w:szCs w:val="22"/>
          <w:lang w:eastAsia="fr-BE"/>
        </w:rPr>
      </w:pPr>
      <w:hyperlink w:anchor="_Toc486243282" w:history="1">
        <w:r w:rsidR="00245F1F" w:rsidRPr="00E80661">
          <w:rPr>
            <w:rStyle w:val="Hyperlink"/>
            <w:b/>
            <w:noProof/>
          </w:rPr>
          <w:t>2.6</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Urban policy</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_Toc486243282 \h </w:instrText>
        </w:r>
        <w:r w:rsidR="00245F1F" w:rsidRPr="00E80661">
          <w:rPr>
            <w:noProof/>
            <w:webHidden/>
          </w:rPr>
        </w:r>
        <w:r w:rsidR="00245F1F" w:rsidRPr="00E80661">
          <w:rPr>
            <w:noProof/>
            <w:webHidden/>
          </w:rPr>
          <w:fldChar w:fldCharType="separate"/>
        </w:r>
        <w:r w:rsidR="00E80661">
          <w:rPr>
            <w:noProof/>
            <w:webHidden/>
          </w:rPr>
          <w:t>14</w:t>
        </w:r>
        <w:r w:rsidR="00245F1F" w:rsidRPr="00E80661">
          <w:rPr>
            <w:noProof/>
            <w:webHidden/>
          </w:rPr>
          <w:fldChar w:fldCharType="end"/>
        </w:r>
      </w:hyperlink>
    </w:p>
    <w:p w14:paraId="667BA67E" w14:textId="710F2FAA" w:rsidR="00245F1F" w:rsidRPr="00E80661" w:rsidRDefault="00BE7F1F">
      <w:pPr>
        <w:pStyle w:val="TOC1"/>
        <w:rPr>
          <w:rFonts w:asciiTheme="minorHAnsi" w:eastAsiaTheme="minorEastAsia" w:hAnsiTheme="minorHAnsi" w:cstheme="minorBidi"/>
          <w:noProof/>
          <w:szCs w:val="22"/>
          <w:lang w:eastAsia="fr-BE"/>
        </w:rPr>
      </w:pPr>
      <w:hyperlink w:anchor="_Toc486243283" w:history="1">
        <w:r w:rsidR="00245F1F" w:rsidRPr="00E80661">
          <w:rPr>
            <w:rStyle w:val="Hyperlink"/>
            <w:b/>
            <w:noProof/>
          </w:rPr>
          <w:t>3.</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Transport and Mobility</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_Toc486243283 \h </w:instrText>
        </w:r>
        <w:r w:rsidR="00245F1F" w:rsidRPr="00E80661">
          <w:rPr>
            <w:noProof/>
            <w:webHidden/>
          </w:rPr>
        </w:r>
        <w:r w:rsidR="00245F1F" w:rsidRPr="00E80661">
          <w:rPr>
            <w:noProof/>
            <w:webHidden/>
          </w:rPr>
          <w:fldChar w:fldCharType="separate"/>
        </w:r>
        <w:r w:rsidR="00E80661">
          <w:rPr>
            <w:noProof/>
            <w:webHidden/>
          </w:rPr>
          <w:t>15</w:t>
        </w:r>
        <w:r w:rsidR="00245F1F" w:rsidRPr="00E80661">
          <w:rPr>
            <w:noProof/>
            <w:webHidden/>
          </w:rPr>
          <w:fldChar w:fldCharType="end"/>
        </w:r>
      </w:hyperlink>
    </w:p>
    <w:p w14:paraId="30AF2EEE" w14:textId="6EA48DDB" w:rsidR="00245F1F" w:rsidRPr="00E80661" w:rsidRDefault="00BE7F1F">
      <w:pPr>
        <w:pStyle w:val="TOC2"/>
        <w:tabs>
          <w:tab w:val="left" w:pos="880"/>
          <w:tab w:val="right" w:leader="dot" w:pos="9016"/>
        </w:tabs>
        <w:rPr>
          <w:rFonts w:asciiTheme="minorHAnsi" w:eastAsiaTheme="minorEastAsia" w:hAnsiTheme="minorHAnsi" w:cstheme="minorBidi"/>
          <w:noProof/>
          <w:szCs w:val="22"/>
          <w:lang w:eastAsia="fr-BE"/>
        </w:rPr>
      </w:pPr>
      <w:hyperlink w:anchor="_Toc486243284" w:history="1">
        <w:r w:rsidR="00245F1F" w:rsidRPr="00E80661">
          <w:rPr>
            <w:rStyle w:val="Hyperlink"/>
            <w:b/>
            <w:noProof/>
          </w:rPr>
          <w:t>3.2</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Railway policy</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_Toc486243284 \h </w:instrText>
        </w:r>
        <w:r w:rsidR="00245F1F" w:rsidRPr="00E80661">
          <w:rPr>
            <w:noProof/>
            <w:webHidden/>
          </w:rPr>
        </w:r>
        <w:r w:rsidR="00245F1F" w:rsidRPr="00E80661">
          <w:rPr>
            <w:noProof/>
            <w:webHidden/>
          </w:rPr>
          <w:fldChar w:fldCharType="separate"/>
        </w:r>
        <w:r w:rsidR="00E80661">
          <w:rPr>
            <w:noProof/>
            <w:webHidden/>
          </w:rPr>
          <w:t>15</w:t>
        </w:r>
        <w:r w:rsidR="00245F1F" w:rsidRPr="00E80661">
          <w:rPr>
            <w:noProof/>
            <w:webHidden/>
          </w:rPr>
          <w:fldChar w:fldCharType="end"/>
        </w:r>
      </w:hyperlink>
    </w:p>
    <w:p w14:paraId="4BA81D4D" w14:textId="39E30990" w:rsidR="00245F1F" w:rsidRPr="00E80661" w:rsidRDefault="00BE7F1F">
      <w:pPr>
        <w:pStyle w:val="TOC2"/>
        <w:tabs>
          <w:tab w:val="left" w:pos="880"/>
          <w:tab w:val="right" w:leader="dot" w:pos="9016"/>
        </w:tabs>
        <w:rPr>
          <w:rFonts w:asciiTheme="minorHAnsi" w:eastAsiaTheme="minorEastAsia" w:hAnsiTheme="minorHAnsi" w:cstheme="minorBidi"/>
          <w:noProof/>
          <w:szCs w:val="22"/>
          <w:lang w:eastAsia="fr-BE"/>
        </w:rPr>
      </w:pPr>
      <w:hyperlink w:anchor="_Toc486243285" w:history="1">
        <w:r w:rsidR="00245F1F" w:rsidRPr="00E80661">
          <w:rPr>
            <w:rStyle w:val="Hyperlink"/>
            <w:b/>
            <w:noProof/>
          </w:rPr>
          <w:t>3.3.</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EU Ports policy</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_Toc486243285 \h </w:instrText>
        </w:r>
        <w:r w:rsidR="00245F1F" w:rsidRPr="00E80661">
          <w:rPr>
            <w:noProof/>
            <w:webHidden/>
          </w:rPr>
        </w:r>
        <w:r w:rsidR="00245F1F" w:rsidRPr="00E80661">
          <w:rPr>
            <w:noProof/>
            <w:webHidden/>
          </w:rPr>
          <w:fldChar w:fldCharType="separate"/>
        </w:r>
        <w:r w:rsidR="00E80661">
          <w:rPr>
            <w:noProof/>
            <w:webHidden/>
          </w:rPr>
          <w:t>16</w:t>
        </w:r>
        <w:r w:rsidR="00245F1F" w:rsidRPr="00E80661">
          <w:rPr>
            <w:noProof/>
            <w:webHidden/>
          </w:rPr>
          <w:fldChar w:fldCharType="end"/>
        </w:r>
      </w:hyperlink>
    </w:p>
    <w:p w14:paraId="0B78FFB2" w14:textId="55F2AEA8" w:rsidR="00245F1F" w:rsidRPr="00E80661" w:rsidRDefault="00BE7F1F">
      <w:pPr>
        <w:pStyle w:val="TOC1"/>
        <w:rPr>
          <w:rFonts w:asciiTheme="minorHAnsi" w:eastAsiaTheme="minorEastAsia" w:hAnsiTheme="minorHAnsi" w:cstheme="minorBidi"/>
          <w:noProof/>
          <w:szCs w:val="22"/>
          <w:lang w:eastAsia="fr-BE"/>
        </w:rPr>
      </w:pPr>
      <w:hyperlink w:anchor="_Toc486243286" w:history="1">
        <w:r w:rsidR="00245F1F" w:rsidRPr="00E80661">
          <w:rPr>
            <w:rStyle w:val="Hyperlink"/>
            <w:b/>
            <w:noProof/>
          </w:rPr>
          <w:t>4.</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Research and innovation</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_Toc486243286 \h </w:instrText>
        </w:r>
        <w:r w:rsidR="00245F1F" w:rsidRPr="00E80661">
          <w:rPr>
            <w:noProof/>
            <w:webHidden/>
          </w:rPr>
        </w:r>
        <w:r w:rsidR="00245F1F" w:rsidRPr="00E80661">
          <w:rPr>
            <w:noProof/>
            <w:webHidden/>
          </w:rPr>
          <w:fldChar w:fldCharType="separate"/>
        </w:r>
        <w:r w:rsidR="00E80661">
          <w:rPr>
            <w:noProof/>
            <w:webHidden/>
          </w:rPr>
          <w:t>17</w:t>
        </w:r>
        <w:r w:rsidR="00245F1F" w:rsidRPr="00E80661">
          <w:rPr>
            <w:noProof/>
            <w:webHidden/>
          </w:rPr>
          <w:fldChar w:fldCharType="end"/>
        </w:r>
      </w:hyperlink>
    </w:p>
    <w:p w14:paraId="3BF618A5" w14:textId="5A233899" w:rsidR="00245F1F" w:rsidRPr="00E80661" w:rsidRDefault="00BE7F1F">
      <w:pPr>
        <w:pStyle w:val="TOC1"/>
        <w:rPr>
          <w:rFonts w:asciiTheme="minorHAnsi" w:eastAsiaTheme="minorEastAsia" w:hAnsiTheme="minorHAnsi" w:cstheme="minorBidi"/>
          <w:noProof/>
          <w:szCs w:val="22"/>
          <w:lang w:eastAsia="fr-BE"/>
        </w:rPr>
      </w:pPr>
      <w:hyperlink w:anchor="_Toc486243287" w:history="1">
        <w:r w:rsidR="00245F1F" w:rsidRPr="00E80661">
          <w:rPr>
            <w:rStyle w:val="Hyperlink"/>
            <w:b/>
            <w:noProof/>
          </w:rPr>
          <w:t>5.</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Culture and youth</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_Toc486243287 \h </w:instrText>
        </w:r>
        <w:r w:rsidR="00245F1F" w:rsidRPr="00E80661">
          <w:rPr>
            <w:noProof/>
            <w:webHidden/>
          </w:rPr>
        </w:r>
        <w:r w:rsidR="00245F1F" w:rsidRPr="00E80661">
          <w:rPr>
            <w:noProof/>
            <w:webHidden/>
          </w:rPr>
          <w:fldChar w:fldCharType="separate"/>
        </w:r>
        <w:r w:rsidR="00E80661">
          <w:rPr>
            <w:noProof/>
            <w:webHidden/>
          </w:rPr>
          <w:t>18</w:t>
        </w:r>
        <w:r w:rsidR="00245F1F" w:rsidRPr="00E80661">
          <w:rPr>
            <w:noProof/>
            <w:webHidden/>
          </w:rPr>
          <w:fldChar w:fldCharType="end"/>
        </w:r>
      </w:hyperlink>
    </w:p>
    <w:p w14:paraId="6B1C48A2" w14:textId="143F300F" w:rsidR="00245F1F" w:rsidRPr="00E80661" w:rsidRDefault="00BE7F1F">
      <w:pPr>
        <w:pStyle w:val="TOC1"/>
        <w:rPr>
          <w:rFonts w:asciiTheme="minorHAnsi" w:eastAsiaTheme="minorEastAsia" w:hAnsiTheme="minorHAnsi" w:cstheme="minorBidi"/>
          <w:noProof/>
          <w:szCs w:val="22"/>
          <w:lang w:eastAsia="fr-BE"/>
        </w:rPr>
      </w:pPr>
      <w:hyperlink w:anchor="_Toc486243288" w:history="1">
        <w:r w:rsidR="00245F1F" w:rsidRPr="00E80661">
          <w:rPr>
            <w:rStyle w:val="Hyperlink"/>
            <w:b/>
            <w:noProof/>
            <w:kern w:val="28"/>
          </w:rPr>
          <w:t>6.</w:t>
        </w:r>
        <w:r w:rsidR="00245F1F" w:rsidRPr="00E80661">
          <w:rPr>
            <w:rFonts w:asciiTheme="minorHAnsi" w:eastAsiaTheme="minorEastAsia" w:hAnsiTheme="minorHAnsi" w:cstheme="minorBidi"/>
            <w:noProof/>
            <w:szCs w:val="22"/>
            <w:lang w:eastAsia="fr-BE"/>
          </w:rPr>
          <w:tab/>
        </w:r>
        <w:r w:rsidR="00245F1F" w:rsidRPr="00E80661">
          <w:rPr>
            <w:rStyle w:val="Hyperlink"/>
            <w:b/>
            <w:noProof/>
            <w:kern w:val="28"/>
          </w:rPr>
          <w:t>Environment, Climate Change and Energy</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_Toc486243288 \h </w:instrText>
        </w:r>
        <w:r w:rsidR="00245F1F" w:rsidRPr="00E80661">
          <w:rPr>
            <w:noProof/>
            <w:webHidden/>
          </w:rPr>
        </w:r>
        <w:r w:rsidR="00245F1F" w:rsidRPr="00E80661">
          <w:rPr>
            <w:noProof/>
            <w:webHidden/>
          </w:rPr>
          <w:fldChar w:fldCharType="separate"/>
        </w:r>
        <w:r w:rsidR="00E80661">
          <w:rPr>
            <w:noProof/>
            <w:webHidden/>
          </w:rPr>
          <w:t>20</w:t>
        </w:r>
        <w:r w:rsidR="00245F1F" w:rsidRPr="00E80661">
          <w:rPr>
            <w:noProof/>
            <w:webHidden/>
          </w:rPr>
          <w:fldChar w:fldCharType="end"/>
        </w:r>
      </w:hyperlink>
    </w:p>
    <w:p w14:paraId="371B4EC3" w14:textId="57236732" w:rsidR="00245F1F" w:rsidRPr="00E80661" w:rsidRDefault="00BE7F1F">
      <w:pPr>
        <w:pStyle w:val="TOC2"/>
        <w:tabs>
          <w:tab w:val="left" w:pos="880"/>
          <w:tab w:val="right" w:leader="dot" w:pos="9016"/>
        </w:tabs>
        <w:rPr>
          <w:rFonts w:asciiTheme="minorHAnsi" w:eastAsiaTheme="minorEastAsia" w:hAnsiTheme="minorHAnsi" w:cstheme="minorBidi"/>
          <w:noProof/>
          <w:szCs w:val="22"/>
          <w:lang w:eastAsia="fr-BE"/>
        </w:rPr>
      </w:pPr>
      <w:hyperlink w:anchor="_Toc486243289" w:history="1">
        <w:r w:rsidR="00245F1F" w:rsidRPr="00E80661">
          <w:rPr>
            <w:rStyle w:val="Hyperlink"/>
            <w:b/>
            <w:noProof/>
          </w:rPr>
          <w:t>6.1</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EU Energy and climate policy</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_Toc486243289 \h </w:instrText>
        </w:r>
        <w:r w:rsidR="00245F1F" w:rsidRPr="00E80661">
          <w:rPr>
            <w:noProof/>
            <w:webHidden/>
          </w:rPr>
        </w:r>
        <w:r w:rsidR="00245F1F" w:rsidRPr="00E80661">
          <w:rPr>
            <w:noProof/>
            <w:webHidden/>
          </w:rPr>
          <w:fldChar w:fldCharType="separate"/>
        </w:r>
        <w:r w:rsidR="00E80661">
          <w:rPr>
            <w:noProof/>
            <w:webHidden/>
          </w:rPr>
          <w:t>20</w:t>
        </w:r>
        <w:r w:rsidR="00245F1F" w:rsidRPr="00E80661">
          <w:rPr>
            <w:noProof/>
            <w:webHidden/>
          </w:rPr>
          <w:fldChar w:fldCharType="end"/>
        </w:r>
      </w:hyperlink>
    </w:p>
    <w:p w14:paraId="2DA95580" w14:textId="043AC867" w:rsidR="00245F1F" w:rsidRPr="00E80661" w:rsidRDefault="00BE7F1F">
      <w:pPr>
        <w:pStyle w:val="TOC2"/>
        <w:tabs>
          <w:tab w:val="left" w:pos="880"/>
          <w:tab w:val="right" w:leader="dot" w:pos="9016"/>
        </w:tabs>
        <w:rPr>
          <w:rFonts w:asciiTheme="minorHAnsi" w:eastAsiaTheme="minorEastAsia" w:hAnsiTheme="minorHAnsi" w:cstheme="minorBidi"/>
          <w:noProof/>
          <w:szCs w:val="22"/>
          <w:lang w:eastAsia="fr-BE"/>
        </w:rPr>
      </w:pPr>
      <w:hyperlink w:anchor="_Toc486243290" w:history="1">
        <w:r w:rsidR="00245F1F" w:rsidRPr="00E80661">
          <w:rPr>
            <w:rStyle w:val="Hyperlink"/>
            <w:b/>
            <w:noProof/>
          </w:rPr>
          <w:t>6.2</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EU environment policy</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_Toc486243290 \h </w:instrText>
        </w:r>
        <w:r w:rsidR="00245F1F" w:rsidRPr="00E80661">
          <w:rPr>
            <w:noProof/>
            <w:webHidden/>
          </w:rPr>
        </w:r>
        <w:r w:rsidR="00245F1F" w:rsidRPr="00E80661">
          <w:rPr>
            <w:noProof/>
            <w:webHidden/>
          </w:rPr>
          <w:fldChar w:fldCharType="separate"/>
        </w:r>
        <w:r w:rsidR="00E80661">
          <w:rPr>
            <w:noProof/>
            <w:webHidden/>
          </w:rPr>
          <w:t>23</w:t>
        </w:r>
        <w:r w:rsidR="00245F1F" w:rsidRPr="00E80661">
          <w:rPr>
            <w:noProof/>
            <w:webHidden/>
          </w:rPr>
          <w:fldChar w:fldCharType="end"/>
        </w:r>
      </w:hyperlink>
    </w:p>
    <w:p w14:paraId="5441CDFD" w14:textId="5E26C5B9" w:rsidR="00245F1F" w:rsidRPr="00E80661" w:rsidRDefault="00BE7F1F">
      <w:pPr>
        <w:pStyle w:val="TOC1"/>
        <w:rPr>
          <w:rFonts w:asciiTheme="minorHAnsi" w:eastAsiaTheme="minorEastAsia" w:hAnsiTheme="minorHAnsi" w:cstheme="minorBidi"/>
          <w:noProof/>
          <w:szCs w:val="22"/>
          <w:lang w:eastAsia="fr-BE"/>
        </w:rPr>
      </w:pPr>
      <w:hyperlink w:anchor="_Toc486243291" w:history="1">
        <w:r w:rsidR="00245F1F" w:rsidRPr="00E80661">
          <w:rPr>
            <w:rStyle w:val="Hyperlink"/>
            <w:b/>
            <w:noProof/>
            <w:kern w:val="28"/>
          </w:rPr>
          <w:t>7.</w:t>
        </w:r>
        <w:r w:rsidR="00245F1F" w:rsidRPr="00E80661">
          <w:rPr>
            <w:rFonts w:asciiTheme="minorHAnsi" w:eastAsiaTheme="minorEastAsia" w:hAnsiTheme="minorHAnsi" w:cstheme="minorBidi"/>
            <w:noProof/>
            <w:szCs w:val="22"/>
            <w:lang w:eastAsia="fr-BE"/>
          </w:rPr>
          <w:tab/>
        </w:r>
        <w:r w:rsidR="00245F1F" w:rsidRPr="00E80661">
          <w:rPr>
            <w:rStyle w:val="Hyperlink"/>
            <w:b/>
            <w:noProof/>
            <w:kern w:val="28"/>
          </w:rPr>
          <w:t>Natural Resources</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_Toc486243291 \h </w:instrText>
        </w:r>
        <w:r w:rsidR="00245F1F" w:rsidRPr="00E80661">
          <w:rPr>
            <w:noProof/>
            <w:webHidden/>
          </w:rPr>
        </w:r>
        <w:r w:rsidR="00245F1F" w:rsidRPr="00E80661">
          <w:rPr>
            <w:noProof/>
            <w:webHidden/>
          </w:rPr>
          <w:fldChar w:fldCharType="separate"/>
        </w:r>
        <w:r w:rsidR="00E80661">
          <w:rPr>
            <w:noProof/>
            <w:webHidden/>
          </w:rPr>
          <w:t>24</w:t>
        </w:r>
        <w:r w:rsidR="00245F1F" w:rsidRPr="00E80661">
          <w:rPr>
            <w:noProof/>
            <w:webHidden/>
          </w:rPr>
          <w:fldChar w:fldCharType="end"/>
        </w:r>
      </w:hyperlink>
    </w:p>
    <w:p w14:paraId="7B884F7A" w14:textId="107C2DCA" w:rsidR="00245F1F" w:rsidRPr="00E80661" w:rsidRDefault="00BE7F1F">
      <w:pPr>
        <w:pStyle w:val="TOC2"/>
        <w:tabs>
          <w:tab w:val="left" w:pos="880"/>
          <w:tab w:val="right" w:leader="dot" w:pos="9016"/>
        </w:tabs>
        <w:rPr>
          <w:rFonts w:asciiTheme="minorHAnsi" w:eastAsiaTheme="minorEastAsia" w:hAnsiTheme="minorHAnsi" w:cstheme="minorBidi"/>
          <w:noProof/>
          <w:szCs w:val="22"/>
          <w:lang w:eastAsia="fr-BE"/>
        </w:rPr>
      </w:pPr>
      <w:hyperlink w:anchor="_Toc486243292" w:history="1">
        <w:r w:rsidR="00245F1F" w:rsidRPr="00E80661">
          <w:rPr>
            <w:rStyle w:val="Hyperlink"/>
            <w:b/>
            <w:noProof/>
          </w:rPr>
          <w:t>7.1</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Food policy</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_Toc486243292 \h </w:instrText>
        </w:r>
        <w:r w:rsidR="00245F1F" w:rsidRPr="00E80661">
          <w:rPr>
            <w:noProof/>
            <w:webHidden/>
          </w:rPr>
        </w:r>
        <w:r w:rsidR="00245F1F" w:rsidRPr="00E80661">
          <w:rPr>
            <w:noProof/>
            <w:webHidden/>
          </w:rPr>
          <w:fldChar w:fldCharType="separate"/>
        </w:r>
        <w:r w:rsidR="00E80661">
          <w:rPr>
            <w:noProof/>
            <w:webHidden/>
          </w:rPr>
          <w:t>24</w:t>
        </w:r>
        <w:r w:rsidR="00245F1F" w:rsidRPr="00E80661">
          <w:rPr>
            <w:noProof/>
            <w:webHidden/>
          </w:rPr>
          <w:fldChar w:fldCharType="end"/>
        </w:r>
      </w:hyperlink>
    </w:p>
    <w:p w14:paraId="375E0317" w14:textId="06F56139" w:rsidR="00245F1F" w:rsidRPr="00E80661" w:rsidRDefault="00BE7F1F">
      <w:pPr>
        <w:pStyle w:val="TOC2"/>
        <w:tabs>
          <w:tab w:val="left" w:pos="880"/>
          <w:tab w:val="right" w:leader="dot" w:pos="9016"/>
        </w:tabs>
        <w:rPr>
          <w:rFonts w:asciiTheme="minorHAnsi" w:eastAsiaTheme="minorEastAsia" w:hAnsiTheme="minorHAnsi" w:cstheme="minorBidi"/>
          <w:noProof/>
          <w:szCs w:val="22"/>
          <w:lang w:eastAsia="fr-BE"/>
        </w:rPr>
      </w:pPr>
      <w:hyperlink w:anchor="_Toc486243293" w:history="1">
        <w:r w:rsidR="00245F1F" w:rsidRPr="00E80661">
          <w:rPr>
            <w:rStyle w:val="Hyperlink"/>
            <w:b/>
            <w:noProof/>
          </w:rPr>
          <w:t>7.2</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Rural policies</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_Toc486243293 \h </w:instrText>
        </w:r>
        <w:r w:rsidR="00245F1F" w:rsidRPr="00E80661">
          <w:rPr>
            <w:noProof/>
            <w:webHidden/>
          </w:rPr>
        </w:r>
        <w:r w:rsidR="00245F1F" w:rsidRPr="00E80661">
          <w:rPr>
            <w:noProof/>
            <w:webHidden/>
          </w:rPr>
          <w:fldChar w:fldCharType="separate"/>
        </w:r>
        <w:r w:rsidR="00E80661">
          <w:rPr>
            <w:noProof/>
            <w:webHidden/>
          </w:rPr>
          <w:t>25</w:t>
        </w:r>
        <w:r w:rsidR="00245F1F" w:rsidRPr="00E80661">
          <w:rPr>
            <w:noProof/>
            <w:webHidden/>
          </w:rPr>
          <w:fldChar w:fldCharType="end"/>
        </w:r>
      </w:hyperlink>
    </w:p>
    <w:p w14:paraId="2CA9684B" w14:textId="0E9F7C16" w:rsidR="00245F1F" w:rsidRPr="00E80661" w:rsidRDefault="00BE7F1F">
      <w:pPr>
        <w:pStyle w:val="TOC2"/>
        <w:tabs>
          <w:tab w:val="left" w:pos="880"/>
          <w:tab w:val="right" w:leader="dot" w:pos="9016"/>
        </w:tabs>
        <w:rPr>
          <w:rFonts w:asciiTheme="minorHAnsi" w:eastAsiaTheme="minorEastAsia" w:hAnsiTheme="minorHAnsi" w:cstheme="minorBidi"/>
          <w:noProof/>
          <w:szCs w:val="22"/>
          <w:lang w:eastAsia="fr-BE"/>
        </w:rPr>
      </w:pPr>
      <w:hyperlink w:anchor="_Toc486243294" w:history="1">
        <w:r w:rsidR="00245F1F" w:rsidRPr="00E80661">
          <w:rPr>
            <w:rStyle w:val="Hyperlink"/>
            <w:b/>
            <w:noProof/>
          </w:rPr>
          <w:t>7.3</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Disaster risk reduction</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_Toc486243294 \h </w:instrText>
        </w:r>
        <w:r w:rsidR="00245F1F" w:rsidRPr="00E80661">
          <w:rPr>
            <w:noProof/>
            <w:webHidden/>
          </w:rPr>
        </w:r>
        <w:r w:rsidR="00245F1F" w:rsidRPr="00E80661">
          <w:rPr>
            <w:noProof/>
            <w:webHidden/>
          </w:rPr>
          <w:fldChar w:fldCharType="separate"/>
        </w:r>
        <w:r w:rsidR="00E80661">
          <w:rPr>
            <w:noProof/>
            <w:webHidden/>
          </w:rPr>
          <w:t>25</w:t>
        </w:r>
        <w:r w:rsidR="00245F1F" w:rsidRPr="00E80661">
          <w:rPr>
            <w:noProof/>
            <w:webHidden/>
          </w:rPr>
          <w:fldChar w:fldCharType="end"/>
        </w:r>
      </w:hyperlink>
    </w:p>
    <w:p w14:paraId="7A12BE0A" w14:textId="17680A32" w:rsidR="00245F1F" w:rsidRPr="00E80661" w:rsidRDefault="00BE7F1F">
      <w:pPr>
        <w:pStyle w:val="TOC2"/>
        <w:tabs>
          <w:tab w:val="left" w:pos="880"/>
          <w:tab w:val="right" w:leader="dot" w:pos="9016"/>
        </w:tabs>
        <w:rPr>
          <w:rFonts w:asciiTheme="minorHAnsi" w:eastAsiaTheme="minorEastAsia" w:hAnsiTheme="minorHAnsi" w:cstheme="minorBidi"/>
          <w:noProof/>
          <w:szCs w:val="22"/>
          <w:lang w:eastAsia="fr-BE"/>
        </w:rPr>
      </w:pPr>
      <w:hyperlink w:anchor="_Toc486243295" w:history="1">
        <w:r w:rsidR="00245F1F" w:rsidRPr="00E80661">
          <w:rPr>
            <w:rStyle w:val="Hyperlink"/>
            <w:b/>
            <w:noProof/>
          </w:rPr>
          <w:t>7.4</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Future of European aquaculture</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_Toc486243295 \h </w:instrText>
        </w:r>
        <w:r w:rsidR="00245F1F" w:rsidRPr="00E80661">
          <w:rPr>
            <w:noProof/>
            <w:webHidden/>
          </w:rPr>
        </w:r>
        <w:r w:rsidR="00245F1F" w:rsidRPr="00E80661">
          <w:rPr>
            <w:noProof/>
            <w:webHidden/>
          </w:rPr>
          <w:fldChar w:fldCharType="separate"/>
        </w:r>
        <w:r w:rsidR="00E80661">
          <w:rPr>
            <w:noProof/>
            <w:webHidden/>
          </w:rPr>
          <w:t>26</w:t>
        </w:r>
        <w:r w:rsidR="00245F1F" w:rsidRPr="00E80661">
          <w:rPr>
            <w:noProof/>
            <w:webHidden/>
          </w:rPr>
          <w:fldChar w:fldCharType="end"/>
        </w:r>
      </w:hyperlink>
    </w:p>
    <w:p w14:paraId="3C1179B3" w14:textId="0D5BEE78" w:rsidR="00245F1F" w:rsidRPr="00E80661" w:rsidRDefault="00BE7F1F">
      <w:pPr>
        <w:pStyle w:val="TOC1"/>
        <w:rPr>
          <w:rFonts w:asciiTheme="minorHAnsi" w:eastAsiaTheme="minorEastAsia" w:hAnsiTheme="minorHAnsi" w:cstheme="minorBidi"/>
          <w:noProof/>
          <w:szCs w:val="22"/>
          <w:lang w:eastAsia="fr-BE"/>
        </w:rPr>
      </w:pPr>
      <w:hyperlink w:anchor="_Toc486243296" w:history="1">
        <w:r w:rsidR="00245F1F" w:rsidRPr="00E80661">
          <w:rPr>
            <w:rStyle w:val="Hyperlink"/>
            <w:b/>
            <w:noProof/>
            <w:kern w:val="28"/>
          </w:rPr>
          <w:t>8.</w:t>
        </w:r>
        <w:r w:rsidR="00245F1F" w:rsidRPr="00E80661">
          <w:rPr>
            <w:rFonts w:asciiTheme="minorHAnsi" w:eastAsiaTheme="minorEastAsia" w:hAnsiTheme="minorHAnsi" w:cstheme="minorBidi"/>
            <w:noProof/>
            <w:szCs w:val="22"/>
            <w:lang w:eastAsia="fr-BE"/>
          </w:rPr>
          <w:tab/>
        </w:r>
        <w:r w:rsidR="00245F1F" w:rsidRPr="00E80661">
          <w:rPr>
            <w:rStyle w:val="Hyperlink"/>
            <w:b/>
            <w:noProof/>
            <w:kern w:val="28"/>
          </w:rPr>
          <w:t>Better regulation, subsidiarity and proportionality</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_Toc486243296 \h </w:instrText>
        </w:r>
        <w:r w:rsidR="00245F1F" w:rsidRPr="00E80661">
          <w:rPr>
            <w:noProof/>
            <w:webHidden/>
          </w:rPr>
        </w:r>
        <w:r w:rsidR="00245F1F" w:rsidRPr="00E80661">
          <w:rPr>
            <w:noProof/>
            <w:webHidden/>
          </w:rPr>
          <w:fldChar w:fldCharType="separate"/>
        </w:r>
        <w:r w:rsidR="00E80661">
          <w:rPr>
            <w:noProof/>
            <w:webHidden/>
          </w:rPr>
          <w:t>26</w:t>
        </w:r>
        <w:r w:rsidR="00245F1F" w:rsidRPr="00E80661">
          <w:rPr>
            <w:noProof/>
            <w:webHidden/>
          </w:rPr>
          <w:fldChar w:fldCharType="end"/>
        </w:r>
      </w:hyperlink>
    </w:p>
    <w:p w14:paraId="05768972" w14:textId="1AD81DF4" w:rsidR="00245F1F" w:rsidRPr="00E80661" w:rsidRDefault="00BE7F1F">
      <w:pPr>
        <w:pStyle w:val="TOC1"/>
        <w:rPr>
          <w:rFonts w:asciiTheme="minorHAnsi" w:eastAsiaTheme="minorEastAsia" w:hAnsiTheme="minorHAnsi" w:cstheme="minorBidi"/>
          <w:noProof/>
          <w:szCs w:val="22"/>
          <w:lang w:eastAsia="fr-BE"/>
        </w:rPr>
      </w:pPr>
      <w:hyperlink w:anchor="_Toc486243297" w:history="1">
        <w:r w:rsidR="00245F1F" w:rsidRPr="00E80661">
          <w:rPr>
            <w:rStyle w:val="Hyperlink"/>
            <w:b/>
            <w:noProof/>
            <w:kern w:val="28"/>
          </w:rPr>
          <w:t>9.</w:t>
        </w:r>
        <w:r w:rsidR="00245F1F" w:rsidRPr="00E80661">
          <w:rPr>
            <w:rFonts w:asciiTheme="minorHAnsi" w:eastAsiaTheme="minorEastAsia" w:hAnsiTheme="minorHAnsi" w:cstheme="minorBidi"/>
            <w:noProof/>
            <w:szCs w:val="22"/>
            <w:lang w:eastAsia="fr-BE"/>
          </w:rPr>
          <w:tab/>
        </w:r>
        <w:r w:rsidR="00245F1F" w:rsidRPr="00E80661">
          <w:rPr>
            <w:rStyle w:val="Hyperlink"/>
            <w:b/>
            <w:noProof/>
            <w:kern w:val="28"/>
          </w:rPr>
          <w:t>Migration, security and justice</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_Toc486243297 \h </w:instrText>
        </w:r>
        <w:r w:rsidR="00245F1F" w:rsidRPr="00E80661">
          <w:rPr>
            <w:noProof/>
            <w:webHidden/>
          </w:rPr>
        </w:r>
        <w:r w:rsidR="00245F1F" w:rsidRPr="00E80661">
          <w:rPr>
            <w:noProof/>
            <w:webHidden/>
          </w:rPr>
          <w:fldChar w:fldCharType="separate"/>
        </w:r>
        <w:r w:rsidR="00E80661">
          <w:rPr>
            <w:noProof/>
            <w:webHidden/>
          </w:rPr>
          <w:t>27</w:t>
        </w:r>
        <w:r w:rsidR="00245F1F" w:rsidRPr="00E80661">
          <w:rPr>
            <w:noProof/>
            <w:webHidden/>
          </w:rPr>
          <w:fldChar w:fldCharType="end"/>
        </w:r>
      </w:hyperlink>
    </w:p>
    <w:p w14:paraId="2F837D7B" w14:textId="7001E17F" w:rsidR="00245F1F" w:rsidRPr="00E80661" w:rsidRDefault="00BE7F1F">
      <w:pPr>
        <w:pStyle w:val="TOC1"/>
        <w:rPr>
          <w:rFonts w:asciiTheme="minorHAnsi" w:eastAsiaTheme="minorEastAsia" w:hAnsiTheme="minorHAnsi" w:cstheme="minorBidi"/>
          <w:noProof/>
          <w:szCs w:val="22"/>
          <w:lang w:eastAsia="fr-BE"/>
        </w:rPr>
      </w:pPr>
      <w:hyperlink w:anchor="_Toc486243298" w:history="1">
        <w:r w:rsidR="00245F1F" w:rsidRPr="00E80661">
          <w:rPr>
            <w:rStyle w:val="Hyperlink"/>
            <w:b/>
            <w:noProof/>
            <w:kern w:val="28"/>
          </w:rPr>
          <w:t>10.</w:t>
        </w:r>
        <w:r w:rsidR="00245F1F" w:rsidRPr="00E80661">
          <w:rPr>
            <w:rFonts w:asciiTheme="minorHAnsi" w:eastAsiaTheme="minorEastAsia" w:hAnsiTheme="minorHAnsi" w:cstheme="minorBidi"/>
            <w:noProof/>
            <w:szCs w:val="22"/>
            <w:lang w:eastAsia="fr-BE"/>
          </w:rPr>
          <w:tab/>
        </w:r>
        <w:r w:rsidR="00245F1F" w:rsidRPr="00E80661">
          <w:rPr>
            <w:rStyle w:val="Hyperlink"/>
            <w:b/>
            <w:noProof/>
            <w:kern w:val="28"/>
          </w:rPr>
          <w:t>Europe as a global actor</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_Toc486243298 \h </w:instrText>
        </w:r>
        <w:r w:rsidR="00245F1F" w:rsidRPr="00E80661">
          <w:rPr>
            <w:noProof/>
            <w:webHidden/>
          </w:rPr>
        </w:r>
        <w:r w:rsidR="00245F1F" w:rsidRPr="00E80661">
          <w:rPr>
            <w:noProof/>
            <w:webHidden/>
          </w:rPr>
          <w:fldChar w:fldCharType="separate"/>
        </w:r>
        <w:r w:rsidR="00E80661">
          <w:rPr>
            <w:noProof/>
            <w:webHidden/>
          </w:rPr>
          <w:t>30</w:t>
        </w:r>
        <w:r w:rsidR="00245F1F" w:rsidRPr="00E80661">
          <w:rPr>
            <w:noProof/>
            <w:webHidden/>
          </w:rPr>
          <w:fldChar w:fldCharType="end"/>
        </w:r>
      </w:hyperlink>
    </w:p>
    <w:p w14:paraId="6271B1D2" w14:textId="1334A666" w:rsidR="00245F1F" w:rsidRPr="00E80661" w:rsidRDefault="00BE7F1F">
      <w:pPr>
        <w:pStyle w:val="TOC2"/>
        <w:tabs>
          <w:tab w:val="left" w:pos="880"/>
          <w:tab w:val="right" w:leader="dot" w:pos="9016"/>
        </w:tabs>
        <w:rPr>
          <w:rFonts w:asciiTheme="minorHAnsi" w:eastAsiaTheme="minorEastAsia" w:hAnsiTheme="minorHAnsi" w:cstheme="minorBidi"/>
          <w:noProof/>
          <w:szCs w:val="22"/>
          <w:lang w:eastAsia="fr-BE"/>
        </w:rPr>
      </w:pPr>
      <w:hyperlink w:anchor="_Toc486243299" w:history="1">
        <w:r w:rsidR="00245F1F" w:rsidRPr="00E80661">
          <w:rPr>
            <w:rStyle w:val="Hyperlink"/>
            <w:b/>
            <w:noProof/>
          </w:rPr>
          <w:t>10.1</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Eastern Partnership</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_Toc486243299 \h </w:instrText>
        </w:r>
        <w:r w:rsidR="00245F1F" w:rsidRPr="00E80661">
          <w:rPr>
            <w:noProof/>
            <w:webHidden/>
          </w:rPr>
        </w:r>
        <w:r w:rsidR="00245F1F" w:rsidRPr="00E80661">
          <w:rPr>
            <w:noProof/>
            <w:webHidden/>
          </w:rPr>
          <w:fldChar w:fldCharType="separate"/>
        </w:r>
        <w:r w:rsidR="00E80661">
          <w:rPr>
            <w:noProof/>
            <w:webHidden/>
          </w:rPr>
          <w:t>30</w:t>
        </w:r>
        <w:r w:rsidR="00245F1F" w:rsidRPr="00E80661">
          <w:rPr>
            <w:noProof/>
            <w:webHidden/>
          </w:rPr>
          <w:fldChar w:fldCharType="end"/>
        </w:r>
      </w:hyperlink>
    </w:p>
    <w:p w14:paraId="3EBFB2D6" w14:textId="65E041B0" w:rsidR="00245F1F" w:rsidRPr="00E80661" w:rsidRDefault="00BE7F1F">
      <w:pPr>
        <w:pStyle w:val="TOC2"/>
        <w:tabs>
          <w:tab w:val="left" w:pos="880"/>
          <w:tab w:val="right" w:leader="dot" w:pos="9016"/>
        </w:tabs>
        <w:rPr>
          <w:rFonts w:asciiTheme="minorHAnsi" w:eastAsiaTheme="minorEastAsia" w:hAnsiTheme="minorHAnsi" w:cstheme="minorBidi"/>
          <w:noProof/>
          <w:szCs w:val="22"/>
          <w:lang w:eastAsia="fr-BE"/>
        </w:rPr>
      </w:pPr>
      <w:hyperlink w:anchor="_Toc486243300" w:history="1">
        <w:r w:rsidR="00245F1F" w:rsidRPr="00E80661">
          <w:rPr>
            <w:rStyle w:val="Hyperlink"/>
            <w:b/>
            <w:noProof/>
          </w:rPr>
          <w:t>10.2</w:t>
        </w:r>
        <w:r w:rsidR="00245F1F" w:rsidRPr="00E80661">
          <w:rPr>
            <w:rFonts w:asciiTheme="minorHAnsi" w:eastAsiaTheme="minorEastAsia" w:hAnsiTheme="minorHAnsi" w:cstheme="minorBidi"/>
            <w:noProof/>
            <w:szCs w:val="22"/>
            <w:lang w:eastAsia="fr-BE"/>
          </w:rPr>
          <w:tab/>
        </w:r>
        <w:r w:rsidR="00245F1F" w:rsidRPr="00E80661">
          <w:rPr>
            <w:rStyle w:val="Hyperlink"/>
            <w:b/>
            <w:noProof/>
          </w:rPr>
          <w:t>Southern Neighbourhood</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_Toc486243300 \h </w:instrText>
        </w:r>
        <w:r w:rsidR="00245F1F" w:rsidRPr="00E80661">
          <w:rPr>
            <w:noProof/>
            <w:webHidden/>
          </w:rPr>
        </w:r>
        <w:r w:rsidR="00245F1F" w:rsidRPr="00E80661">
          <w:rPr>
            <w:noProof/>
            <w:webHidden/>
          </w:rPr>
          <w:fldChar w:fldCharType="separate"/>
        </w:r>
        <w:r w:rsidR="00E80661">
          <w:rPr>
            <w:noProof/>
            <w:webHidden/>
          </w:rPr>
          <w:t>30</w:t>
        </w:r>
        <w:r w:rsidR="00245F1F" w:rsidRPr="00E80661">
          <w:rPr>
            <w:noProof/>
            <w:webHidden/>
          </w:rPr>
          <w:fldChar w:fldCharType="end"/>
        </w:r>
      </w:hyperlink>
    </w:p>
    <w:p w14:paraId="5B3C84A5" w14:textId="6744E456" w:rsidR="00245F1F" w:rsidRPr="00E80661" w:rsidRDefault="00BE7F1F">
      <w:pPr>
        <w:pStyle w:val="TOC1"/>
        <w:rPr>
          <w:rFonts w:asciiTheme="minorHAnsi" w:eastAsiaTheme="minorEastAsia" w:hAnsiTheme="minorHAnsi" w:cstheme="minorBidi"/>
          <w:noProof/>
          <w:szCs w:val="22"/>
          <w:lang w:eastAsia="fr-BE"/>
        </w:rPr>
      </w:pPr>
      <w:hyperlink w:anchor="_Toc486243301" w:history="1">
        <w:r w:rsidR="00245F1F" w:rsidRPr="00E80661">
          <w:rPr>
            <w:rStyle w:val="Hyperlink"/>
            <w:b/>
            <w:noProof/>
          </w:rPr>
          <w:t>Appendix - List of CoR opinions with impact in 2016</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_Toc486243301 \h </w:instrText>
        </w:r>
        <w:r w:rsidR="00245F1F" w:rsidRPr="00E80661">
          <w:rPr>
            <w:noProof/>
            <w:webHidden/>
          </w:rPr>
        </w:r>
        <w:r w:rsidR="00245F1F" w:rsidRPr="00E80661">
          <w:rPr>
            <w:noProof/>
            <w:webHidden/>
          </w:rPr>
          <w:fldChar w:fldCharType="separate"/>
        </w:r>
        <w:r w:rsidR="00E80661">
          <w:rPr>
            <w:noProof/>
            <w:webHidden/>
          </w:rPr>
          <w:t>31</w:t>
        </w:r>
        <w:r w:rsidR="00245F1F" w:rsidRPr="00E80661">
          <w:rPr>
            <w:noProof/>
            <w:webHidden/>
          </w:rPr>
          <w:fldChar w:fldCharType="end"/>
        </w:r>
      </w:hyperlink>
    </w:p>
    <w:p w14:paraId="3BB9A407" w14:textId="58F8AA8E" w:rsidR="00245F1F" w:rsidRPr="00E80661" w:rsidRDefault="00BE7F1F">
      <w:pPr>
        <w:pStyle w:val="TOC3"/>
        <w:tabs>
          <w:tab w:val="right" w:leader="dot" w:pos="9016"/>
        </w:tabs>
        <w:rPr>
          <w:rFonts w:asciiTheme="minorHAnsi" w:eastAsiaTheme="minorEastAsia" w:hAnsiTheme="minorHAnsi" w:cstheme="minorBidi"/>
          <w:noProof/>
          <w:szCs w:val="22"/>
          <w:lang w:eastAsia="fr-BE"/>
        </w:rPr>
      </w:pPr>
      <w:hyperlink w:anchor="_Toc486243302" w:history="1">
        <w:r w:rsidR="00245F1F" w:rsidRPr="00E80661">
          <w:rPr>
            <w:rStyle w:val="Hyperlink"/>
            <w:noProof/>
          </w:rPr>
          <w:t>CIVEX Commission</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_Toc486243302 \h </w:instrText>
        </w:r>
        <w:r w:rsidR="00245F1F" w:rsidRPr="00E80661">
          <w:rPr>
            <w:noProof/>
            <w:webHidden/>
          </w:rPr>
        </w:r>
        <w:r w:rsidR="00245F1F" w:rsidRPr="00E80661">
          <w:rPr>
            <w:noProof/>
            <w:webHidden/>
          </w:rPr>
          <w:fldChar w:fldCharType="separate"/>
        </w:r>
        <w:r w:rsidR="00E80661">
          <w:rPr>
            <w:noProof/>
            <w:webHidden/>
          </w:rPr>
          <w:t>31</w:t>
        </w:r>
        <w:r w:rsidR="00245F1F" w:rsidRPr="00E80661">
          <w:rPr>
            <w:noProof/>
            <w:webHidden/>
          </w:rPr>
          <w:fldChar w:fldCharType="end"/>
        </w:r>
      </w:hyperlink>
    </w:p>
    <w:p w14:paraId="5BD68492" w14:textId="56B3F854" w:rsidR="00245F1F" w:rsidRPr="00E80661" w:rsidRDefault="00BE7F1F">
      <w:pPr>
        <w:pStyle w:val="TOC3"/>
        <w:tabs>
          <w:tab w:val="right" w:leader="dot" w:pos="9016"/>
        </w:tabs>
        <w:rPr>
          <w:rFonts w:asciiTheme="minorHAnsi" w:eastAsiaTheme="minorEastAsia" w:hAnsiTheme="minorHAnsi" w:cstheme="minorBidi"/>
          <w:noProof/>
          <w:szCs w:val="22"/>
          <w:lang w:eastAsia="fr-BE"/>
        </w:rPr>
      </w:pPr>
      <w:hyperlink w:anchor="_Toc486243303" w:history="1">
        <w:r w:rsidR="00245F1F" w:rsidRPr="00E80661">
          <w:rPr>
            <w:rStyle w:val="Hyperlink"/>
            <w:noProof/>
          </w:rPr>
          <w:t>COTER Commission</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_Toc486243303 \h </w:instrText>
        </w:r>
        <w:r w:rsidR="00245F1F" w:rsidRPr="00E80661">
          <w:rPr>
            <w:noProof/>
            <w:webHidden/>
          </w:rPr>
        </w:r>
        <w:r w:rsidR="00245F1F" w:rsidRPr="00E80661">
          <w:rPr>
            <w:noProof/>
            <w:webHidden/>
          </w:rPr>
          <w:fldChar w:fldCharType="separate"/>
        </w:r>
        <w:r w:rsidR="00E80661">
          <w:rPr>
            <w:noProof/>
            <w:webHidden/>
          </w:rPr>
          <w:t>31</w:t>
        </w:r>
        <w:r w:rsidR="00245F1F" w:rsidRPr="00E80661">
          <w:rPr>
            <w:noProof/>
            <w:webHidden/>
          </w:rPr>
          <w:fldChar w:fldCharType="end"/>
        </w:r>
      </w:hyperlink>
    </w:p>
    <w:p w14:paraId="4FA8C1AF" w14:textId="514A9A30" w:rsidR="00245F1F" w:rsidRPr="00E80661" w:rsidRDefault="00BE7F1F">
      <w:pPr>
        <w:pStyle w:val="TOC3"/>
        <w:tabs>
          <w:tab w:val="right" w:leader="dot" w:pos="9016"/>
        </w:tabs>
        <w:rPr>
          <w:rFonts w:asciiTheme="minorHAnsi" w:eastAsiaTheme="minorEastAsia" w:hAnsiTheme="minorHAnsi" w:cstheme="minorBidi"/>
          <w:noProof/>
          <w:szCs w:val="22"/>
          <w:lang w:eastAsia="fr-BE"/>
        </w:rPr>
      </w:pPr>
      <w:hyperlink w:anchor="_Toc486243304" w:history="1">
        <w:r w:rsidR="00245F1F" w:rsidRPr="00E80661">
          <w:rPr>
            <w:rStyle w:val="Hyperlink"/>
            <w:noProof/>
          </w:rPr>
          <w:t>ECON Commission</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_Toc486243304 \h </w:instrText>
        </w:r>
        <w:r w:rsidR="00245F1F" w:rsidRPr="00E80661">
          <w:rPr>
            <w:noProof/>
            <w:webHidden/>
          </w:rPr>
        </w:r>
        <w:r w:rsidR="00245F1F" w:rsidRPr="00E80661">
          <w:rPr>
            <w:noProof/>
            <w:webHidden/>
          </w:rPr>
          <w:fldChar w:fldCharType="separate"/>
        </w:r>
        <w:r w:rsidR="00E80661">
          <w:rPr>
            <w:noProof/>
            <w:webHidden/>
          </w:rPr>
          <w:t>31</w:t>
        </w:r>
        <w:r w:rsidR="00245F1F" w:rsidRPr="00E80661">
          <w:rPr>
            <w:noProof/>
            <w:webHidden/>
          </w:rPr>
          <w:fldChar w:fldCharType="end"/>
        </w:r>
      </w:hyperlink>
    </w:p>
    <w:p w14:paraId="181B3EF4" w14:textId="3609FDF4" w:rsidR="00245F1F" w:rsidRPr="00E80661" w:rsidRDefault="00BE7F1F">
      <w:pPr>
        <w:pStyle w:val="TOC3"/>
        <w:tabs>
          <w:tab w:val="right" w:leader="dot" w:pos="9016"/>
        </w:tabs>
        <w:rPr>
          <w:rFonts w:asciiTheme="minorHAnsi" w:eastAsiaTheme="minorEastAsia" w:hAnsiTheme="minorHAnsi" w:cstheme="minorBidi"/>
          <w:noProof/>
          <w:szCs w:val="22"/>
          <w:lang w:eastAsia="fr-BE"/>
        </w:rPr>
      </w:pPr>
      <w:hyperlink w:anchor="_Toc486243305" w:history="1">
        <w:r w:rsidR="00245F1F" w:rsidRPr="00E80661">
          <w:rPr>
            <w:rStyle w:val="Hyperlink"/>
            <w:noProof/>
          </w:rPr>
          <w:t>SEDEC Commission</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_Toc486243305 \h </w:instrText>
        </w:r>
        <w:r w:rsidR="00245F1F" w:rsidRPr="00E80661">
          <w:rPr>
            <w:noProof/>
            <w:webHidden/>
          </w:rPr>
        </w:r>
        <w:r w:rsidR="00245F1F" w:rsidRPr="00E80661">
          <w:rPr>
            <w:noProof/>
            <w:webHidden/>
          </w:rPr>
          <w:fldChar w:fldCharType="separate"/>
        </w:r>
        <w:r w:rsidR="00E80661">
          <w:rPr>
            <w:noProof/>
            <w:webHidden/>
          </w:rPr>
          <w:t>31</w:t>
        </w:r>
        <w:r w:rsidR="00245F1F" w:rsidRPr="00E80661">
          <w:rPr>
            <w:noProof/>
            <w:webHidden/>
          </w:rPr>
          <w:fldChar w:fldCharType="end"/>
        </w:r>
      </w:hyperlink>
    </w:p>
    <w:p w14:paraId="684ACB17" w14:textId="38603D4D" w:rsidR="00245F1F" w:rsidRPr="00E80661" w:rsidRDefault="00BE7F1F">
      <w:pPr>
        <w:pStyle w:val="TOC3"/>
        <w:tabs>
          <w:tab w:val="right" w:leader="dot" w:pos="9016"/>
        </w:tabs>
        <w:rPr>
          <w:rFonts w:asciiTheme="minorHAnsi" w:eastAsiaTheme="minorEastAsia" w:hAnsiTheme="minorHAnsi" w:cstheme="minorBidi"/>
          <w:noProof/>
          <w:szCs w:val="22"/>
          <w:lang w:eastAsia="fr-BE"/>
        </w:rPr>
      </w:pPr>
      <w:hyperlink w:anchor="_Toc486243306" w:history="1">
        <w:r w:rsidR="00245F1F" w:rsidRPr="00E80661">
          <w:rPr>
            <w:rStyle w:val="Hyperlink"/>
            <w:noProof/>
          </w:rPr>
          <w:t>ENVE Commission</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_Toc486243306 \h </w:instrText>
        </w:r>
        <w:r w:rsidR="00245F1F" w:rsidRPr="00E80661">
          <w:rPr>
            <w:noProof/>
            <w:webHidden/>
          </w:rPr>
        </w:r>
        <w:r w:rsidR="00245F1F" w:rsidRPr="00E80661">
          <w:rPr>
            <w:noProof/>
            <w:webHidden/>
          </w:rPr>
          <w:fldChar w:fldCharType="separate"/>
        </w:r>
        <w:r w:rsidR="00E80661">
          <w:rPr>
            <w:noProof/>
            <w:webHidden/>
          </w:rPr>
          <w:t>32</w:t>
        </w:r>
        <w:r w:rsidR="00245F1F" w:rsidRPr="00E80661">
          <w:rPr>
            <w:noProof/>
            <w:webHidden/>
          </w:rPr>
          <w:fldChar w:fldCharType="end"/>
        </w:r>
      </w:hyperlink>
    </w:p>
    <w:p w14:paraId="185E10E4" w14:textId="5F1C8DA2" w:rsidR="00245F1F" w:rsidRPr="00E80661" w:rsidRDefault="00BE7F1F">
      <w:pPr>
        <w:pStyle w:val="TOC3"/>
        <w:tabs>
          <w:tab w:val="right" w:leader="dot" w:pos="9016"/>
        </w:tabs>
        <w:rPr>
          <w:rFonts w:asciiTheme="minorHAnsi" w:eastAsiaTheme="minorEastAsia" w:hAnsiTheme="minorHAnsi" w:cstheme="minorBidi"/>
          <w:noProof/>
          <w:szCs w:val="22"/>
          <w:lang w:eastAsia="fr-BE"/>
        </w:rPr>
      </w:pPr>
      <w:hyperlink w:anchor="_Toc486243307" w:history="1">
        <w:r w:rsidR="00245F1F" w:rsidRPr="00E80661">
          <w:rPr>
            <w:rStyle w:val="Hyperlink"/>
            <w:noProof/>
          </w:rPr>
          <w:t>NAT Commission</w:t>
        </w:r>
        <w:r w:rsidR="00245F1F" w:rsidRPr="00E80661">
          <w:rPr>
            <w:noProof/>
            <w:webHidden/>
          </w:rPr>
          <w:tab/>
        </w:r>
        <w:r w:rsidR="00245F1F" w:rsidRPr="00E80661">
          <w:rPr>
            <w:noProof/>
            <w:webHidden/>
          </w:rPr>
          <w:fldChar w:fldCharType="begin"/>
        </w:r>
        <w:r w:rsidR="00245F1F" w:rsidRPr="00E80661">
          <w:rPr>
            <w:noProof/>
            <w:webHidden/>
          </w:rPr>
          <w:instrText xml:space="preserve"> PAGEREF _Toc486243307 \h </w:instrText>
        </w:r>
        <w:r w:rsidR="00245F1F" w:rsidRPr="00E80661">
          <w:rPr>
            <w:noProof/>
            <w:webHidden/>
          </w:rPr>
        </w:r>
        <w:r w:rsidR="00245F1F" w:rsidRPr="00E80661">
          <w:rPr>
            <w:noProof/>
            <w:webHidden/>
          </w:rPr>
          <w:fldChar w:fldCharType="separate"/>
        </w:r>
        <w:r w:rsidR="00E80661">
          <w:rPr>
            <w:noProof/>
            <w:webHidden/>
          </w:rPr>
          <w:t>32</w:t>
        </w:r>
        <w:r w:rsidR="00245F1F" w:rsidRPr="00E80661">
          <w:rPr>
            <w:noProof/>
            <w:webHidden/>
          </w:rPr>
          <w:fldChar w:fldCharType="end"/>
        </w:r>
      </w:hyperlink>
    </w:p>
    <w:p w14:paraId="5C55BBD9" w14:textId="77777777" w:rsidR="00AA127F" w:rsidRPr="00E80661" w:rsidRDefault="002D22DF" w:rsidP="005B2CFF">
      <w:pPr>
        <w:rPr>
          <w:szCs w:val="22"/>
        </w:rPr>
      </w:pPr>
      <w:r w:rsidRPr="00E80661">
        <w:rPr>
          <w:szCs w:val="22"/>
        </w:rPr>
        <w:fldChar w:fldCharType="end"/>
      </w:r>
    </w:p>
    <w:p w14:paraId="5C55BBDA" w14:textId="6E713147" w:rsidR="0039791B" w:rsidRPr="00E80661" w:rsidRDefault="004E59E1" w:rsidP="00B90A24">
      <w:pPr>
        <w:jc w:val="center"/>
        <w:rPr>
          <w:rFonts w:eastAsia="Arial Unicode MS"/>
          <w:szCs w:val="22"/>
        </w:rPr>
      </w:pPr>
      <w:r w:rsidRPr="00E80661">
        <w:rPr>
          <w:rFonts w:eastAsia="Arial Unicode MS"/>
          <w:szCs w:val="22"/>
        </w:rPr>
        <w:t>This document contains 31</w:t>
      </w:r>
      <w:r w:rsidR="0067702D" w:rsidRPr="00E80661">
        <w:rPr>
          <w:rFonts w:eastAsia="Arial Unicode MS"/>
          <w:szCs w:val="22"/>
        </w:rPr>
        <w:t xml:space="preserve"> </w:t>
      </w:r>
      <w:r w:rsidR="002D22DF" w:rsidRPr="00E80661">
        <w:rPr>
          <w:rFonts w:eastAsia="Arial Unicode MS"/>
          <w:szCs w:val="22"/>
        </w:rPr>
        <w:t>pages</w:t>
      </w:r>
    </w:p>
    <w:p w14:paraId="5C55BBDB" w14:textId="32EDF8DE" w:rsidR="005C56BC" w:rsidRPr="00E80661" w:rsidRDefault="005C56BC" w:rsidP="00B90A24">
      <w:pPr>
        <w:jc w:val="center"/>
        <w:rPr>
          <w:rFonts w:eastAsia="Arial Unicode MS"/>
          <w:szCs w:val="22"/>
        </w:rPr>
        <w:sectPr w:rsidR="005C56BC" w:rsidRPr="00E80661" w:rsidSect="005B2CFF">
          <w:headerReference w:type="even" r:id="rId16"/>
          <w:headerReference w:type="default" r:id="rId17"/>
          <w:footerReference w:type="even" r:id="rId18"/>
          <w:footerReference w:type="default" r:id="rId19"/>
          <w:headerReference w:type="first" r:id="rId20"/>
          <w:footerReference w:type="first" r:id="rId21"/>
          <w:pgSz w:w="11906" w:h="16838"/>
          <w:pgMar w:top="1701" w:right="1440" w:bottom="1928" w:left="1440" w:header="1021" w:footer="1247" w:gutter="0"/>
          <w:pgNumType w:start="0"/>
          <w:cols w:space="708"/>
          <w:titlePg/>
          <w:docGrid w:linePitch="360"/>
        </w:sectPr>
      </w:pPr>
    </w:p>
    <w:p w14:paraId="5C55BBDC" w14:textId="77777777" w:rsidR="00BB3CA2" w:rsidRPr="00E80661" w:rsidRDefault="001504FA" w:rsidP="00644601">
      <w:pPr>
        <w:pStyle w:val="Heading1"/>
        <w:numPr>
          <w:ilvl w:val="0"/>
          <w:numId w:val="0"/>
        </w:numPr>
        <w:rPr>
          <w:b/>
          <w:szCs w:val="22"/>
          <w:u w:val="single"/>
        </w:rPr>
      </w:pPr>
      <w:bookmarkStart w:id="1" w:name="_Toc486243268"/>
      <w:bookmarkStart w:id="2" w:name="_Toc485373820"/>
      <w:r w:rsidRPr="00E80661">
        <w:rPr>
          <w:b/>
          <w:szCs w:val="22"/>
          <w:u w:val="single"/>
        </w:rPr>
        <w:t>Methodology</w:t>
      </w:r>
      <w:r w:rsidR="00EB1DDC" w:rsidRPr="00E80661">
        <w:rPr>
          <w:b/>
          <w:szCs w:val="22"/>
          <w:u w:val="single"/>
        </w:rPr>
        <w:t xml:space="preserve"> and interinstitutional </w:t>
      </w:r>
      <w:r w:rsidR="00A94C9E" w:rsidRPr="00E80661">
        <w:rPr>
          <w:b/>
          <w:szCs w:val="22"/>
          <w:u w:val="single"/>
        </w:rPr>
        <w:t xml:space="preserve">initiatives and </w:t>
      </w:r>
      <w:r w:rsidR="00EB1DDC" w:rsidRPr="00E80661">
        <w:rPr>
          <w:b/>
          <w:szCs w:val="22"/>
          <w:u w:val="single"/>
        </w:rPr>
        <w:t>follow-up</w:t>
      </w:r>
      <w:bookmarkEnd w:id="1"/>
      <w:bookmarkEnd w:id="2"/>
    </w:p>
    <w:p w14:paraId="5C55BBDD" w14:textId="77777777" w:rsidR="00EB1DDC" w:rsidRPr="00E80661" w:rsidRDefault="00EB1DDC" w:rsidP="00EB1DDC"/>
    <w:p w14:paraId="5C55BBDE" w14:textId="13E3D71B" w:rsidR="00EB1DDC" w:rsidRPr="00E80661" w:rsidRDefault="005D11C8" w:rsidP="00EB1DDC">
      <w:r w:rsidRPr="00E80661">
        <w:t>The Impact Report 2016 provides a thematic overview of the European Committee of Regions' work and achievements within the European decision</w:t>
      </w:r>
      <w:r w:rsidR="007955AC" w:rsidRPr="00E80661">
        <w:t>-</w:t>
      </w:r>
      <w:r w:rsidRPr="00E80661">
        <w:t xml:space="preserve">making process. The CoR continued its efforts to step up its cooperation with the EU institutions, adapting to the changing institutional reality, following the implementation of the </w:t>
      </w:r>
      <w:r w:rsidR="00A94C9E" w:rsidRPr="00E80661">
        <w:t xml:space="preserve">new </w:t>
      </w:r>
      <w:r w:rsidR="007955AC" w:rsidRPr="00E80661">
        <w:t>I</w:t>
      </w:r>
      <w:r w:rsidRPr="00E80661">
        <w:t>nter</w:t>
      </w:r>
      <w:r w:rsidR="00885EA2" w:rsidRPr="00E80661">
        <w:t>i</w:t>
      </w:r>
      <w:r w:rsidRPr="00E80661">
        <w:t xml:space="preserve">nstitutional </w:t>
      </w:r>
      <w:r w:rsidR="007955AC" w:rsidRPr="00E80661">
        <w:t>A</w:t>
      </w:r>
      <w:r w:rsidRPr="00E80661">
        <w:t xml:space="preserve">greement </w:t>
      </w:r>
      <w:r w:rsidR="00A94C9E" w:rsidRPr="00E80661">
        <w:t xml:space="preserve">on Better </w:t>
      </w:r>
      <w:r w:rsidR="00E80661" w:rsidRPr="00E80661">
        <w:t>Law-making</w:t>
      </w:r>
      <w:r w:rsidR="00A94C9E" w:rsidRPr="00E80661">
        <w:t xml:space="preserve"> </w:t>
      </w:r>
      <w:r w:rsidRPr="00E80661">
        <w:t>(IIA).</w:t>
      </w:r>
    </w:p>
    <w:p w14:paraId="5C55BBDF" w14:textId="77777777" w:rsidR="00EB1DDC" w:rsidRPr="00E80661" w:rsidRDefault="00EB1DDC" w:rsidP="00EB1DDC"/>
    <w:p w14:paraId="5C55BBE0" w14:textId="77777777" w:rsidR="00EB1DDC" w:rsidRPr="00E80661" w:rsidRDefault="00EB1DDC" w:rsidP="00EB1DDC">
      <w:pPr>
        <w:rPr>
          <w:b/>
        </w:rPr>
      </w:pPr>
      <w:r w:rsidRPr="00E80661">
        <w:rPr>
          <w:b/>
        </w:rPr>
        <w:t>Methodology</w:t>
      </w:r>
    </w:p>
    <w:p w14:paraId="5C55BBE1" w14:textId="77777777" w:rsidR="00BB3CA2" w:rsidRPr="00E80661" w:rsidRDefault="00BB3CA2" w:rsidP="005B2CFF">
      <w:pPr>
        <w:rPr>
          <w:szCs w:val="22"/>
        </w:rPr>
      </w:pPr>
    </w:p>
    <w:p w14:paraId="5C55BBE2" w14:textId="3034F24C" w:rsidR="00E30AD8" w:rsidRPr="00E80661" w:rsidRDefault="00E30AD8" w:rsidP="005B2CFF">
      <w:pPr>
        <w:rPr>
          <w:szCs w:val="22"/>
        </w:rPr>
      </w:pPr>
      <w:r w:rsidRPr="00E80661">
        <w:rPr>
          <w:szCs w:val="22"/>
        </w:rPr>
        <w:t xml:space="preserve">As stipulated </w:t>
      </w:r>
      <w:r w:rsidR="00E22A22" w:rsidRPr="00E80661">
        <w:rPr>
          <w:szCs w:val="22"/>
        </w:rPr>
        <w:t>in Rule</w:t>
      </w:r>
      <w:r w:rsidRPr="00E80661">
        <w:rPr>
          <w:szCs w:val="22"/>
        </w:rPr>
        <w:t xml:space="preserve"> 60 of the Rules of Procedure, the </w:t>
      </w:r>
      <w:r w:rsidR="00090415" w:rsidRPr="00E80661">
        <w:rPr>
          <w:szCs w:val="22"/>
        </w:rPr>
        <w:t>S</w:t>
      </w:r>
      <w:r w:rsidRPr="00E80661">
        <w:rPr>
          <w:szCs w:val="22"/>
        </w:rPr>
        <w:t>ecretar</w:t>
      </w:r>
      <w:r w:rsidR="00090415" w:rsidRPr="00E80661">
        <w:rPr>
          <w:szCs w:val="22"/>
        </w:rPr>
        <w:t>iat</w:t>
      </w:r>
      <w:r w:rsidRPr="00E80661">
        <w:rPr>
          <w:szCs w:val="22"/>
        </w:rPr>
        <w:t>-</w:t>
      </w:r>
      <w:r w:rsidR="00090415" w:rsidRPr="00E80661">
        <w:rPr>
          <w:szCs w:val="22"/>
        </w:rPr>
        <w:t>G</w:t>
      </w:r>
      <w:r w:rsidRPr="00E80661">
        <w:rPr>
          <w:szCs w:val="22"/>
        </w:rPr>
        <w:t xml:space="preserve">eneral </w:t>
      </w:r>
      <w:r w:rsidR="00B17B1A" w:rsidRPr="00E80661">
        <w:rPr>
          <w:szCs w:val="22"/>
        </w:rPr>
        <w:t>must</w:t>
      </w:r>
      <w:r w:rsidRPr="00E80661">
        <w:rPr>
          <w:szCs w:val="22"/>
        </w:rPr>
        <w:t xml:space="preserve"> submit a report on the impact of Committee opinions to the </w:t>
      </w:r>
      <w:r w:rsidR="00B17B1A" w:rsidRPr="00E80661">
        <w:rPr>
          <w:szCs w:val="22"/>
        </w:rPr>
        <w:t>p</w:t>
      </w:r>
      <w:r w:rsidRPr="00E80661">
        <w:rPr>
          <w:szCs w:val="22"/>
        </w:rPr>
        <w:t xml:space="preserve">lenary </w:t>
      </w:r>
      <w:r w:rsidR="00B17B1A" w:rsidRPr="00E80661">
        <w:rPr>
          <w:szCs w:val="22"/>
        </w:rPr>
        <w:t>a</w:t>
      </w:r>
      <w:r w:rsidRPr="00E80661">
        <w:rPr>
          <w:szCs w:val="22"/>
        </w:rPr>
        <w:t>ssembly</w:t>
      </w:r>
      <w:r w:rsidR="00090F42" w:rsidRPr="00E80661">
        <w:rPr>
          <w:szCs w:val="22"/>
        </w:rPr>
        <w:t xml:space="preserve"> at least once a year</w:t>
      </w:r>
      <w:r w:rsidRPr="00E80661">
        <w:rPr>
          <w:szCs w:val="22"/>
        </w:rPr>
        <w:t>.</w:t>
      </w:r>
    </w:p>
    <w:p w14:paraId="5C55BBE3" w14:textId="77777777" w:rsidR="00E30AD8" w:rsidRPr="00E80661" w:rsidRDefault="00E30AD8" w:rsidP="005B2CFF">
      <w:pPr>
        <w:rPr>
          <w:szCs w:val="22"/>
        </w:rPr>
      </w:pPr>
    </w:p>
    <w:p w14:paraId="5C55BBE4" w14:textId="028EB465" w:rsidR="00E30AD8" w:rsidRPr="00E80661" w:rsidRDefault="00E30AD8" w:rsidP="005B2CFF">
      <w:pPr>
        <w:rPr>
          <w:szCs w:val="22"/>
        </w:rPr>
      </w:pPr>
      <w:r w:rsidRPr="00E80661">
        <w:rPr>
          <w:szCs w:val="22"/>
        </w:rPr>
        <w:t xml:space="preserve">This report summarises the </w:t>
      </w:r>
      <w:r w:rsidR="00090F42" w:rsidRPr="00E80661">
        <w:rPr>
          <w:szCs w:val="22"/>
        </w:rPr>
        <w:t xml:space="preserve">impact of the </w:t>
      </w:r>
      <w:r w:rsidR="00ED392D" w:rsidRPr="00E80661">
        <w:rPr>
          <w:szCs w:val="22"/>
        </w:rPr>
        <w:t>Committee of the Regions (</w:t>
      </w:r>
      <w:r w:rsidRPr="00E80661">
        <w:rPr>
          <w:szCs w:val="22"/>
        </w:rPr>
        <w:t>CoR</w:t>
      </w:r>
      <w:r w:rsidR="00ED392D" w:rsidRPr="00E80661">
        <w:rPr>
          <w:szCs w:val="22"/>
        </w:rPr>
        <w:t>)</w:t>
      </w:r>
      <w:r w:rsidRPr="00E80661">
        <w:rPr>
          <w:szCs w:val="22"/>
        </w:rPr>
        <w:t xml:space="preserve"> in the major fields of its political activity. A total of </w:t>
      </w:r>
      <w:r w:rsidR="00F26391" w:rsidRPr="00E80661">
        <w:rPr>
          <w:szCs w:val="22"/>
        </w:rPr>
        <w:t>4</w:t>
      </w:r>
      <w:r w:rsidR="001D08E3" w:rsidRPr="00E80661">
        <w:rPr>
          <w:szCs w:val="22"/>
        </w:rPr>
        <w:t>5</w:t>
      </w:r>
      <w:r w:rsidRPr="00E80661">
        <w:rPr>
          <w:szCs w:val="22"/>
        </w:rPr>
        <w:t xml:space="preserve"> opinions </w:t>
      </w:r>
      <w:r w:rsidR="00E4012F" w:rsidRPr="00E80661">
        <w:rPr>
          <w:szCs w:val="22"/>
        </w:rPr>
        <w:t xml:space="preserve">adopted in previous years </w:t>
      </w:r>
      <w:r w:rsidR="003A16EB" w:rsidRPr="00E80661">
        <w:rPr>
          <w:szCs w:val="22"/>
        </w:rPr>
        <w:t xml:space="preserve">which had </w:t>
      </w:r>
      <w:r w:rsidR="00156FC4" w:rsidRPr="00E80661">
        <w:rPr>
          <w:szCs w:val="22"/>
        </w:rPr>
        <w:t>a</w:t>
      </w:r>
      <w:r w:rsidR="00590B44" w:rsidRPr="00E80661">
        <w:rPr>
          <w:szCs w:val="22"/>
        </w:rPr>
        <w:t>n</w:t>
      </w:r>
      <w:r w:rsidR="00156FC4" w:rsidRPr="00E80661">
        <w:rPr>
          <w:szCs w:val="22"/>
        </w:rPr>
        <w:t xml:space="preserve"> impact </w:t>
      </w:r>
      <w:r w:rsidR="00E4012F" w:rsidRPr="00E80661">
        <w:rPr>
          <w:szCs w:val="22"/>
        </w:rPr>
        <w:t xml:space="preserve">on the EU's legislative activity </w:t>
      </w:r>
      <w:r w:rsidR="00156FC4" w:rsidRPr="00E80661">
        <w:rPr>
          <w:szCs w:val="22"/>
        </w:rPr>
        <w:t xml:space="preserve">in </w:t>
      </w:r>
      <w:r w:rsidR="0067702D" w:rsidRPr="00E80661">
        <w:rPr>
          <w:szCs w:val="22"/>
        </w:rPr>
        <w:t xml:space="preserve">2016 </w:t>
      </w:r>
      <w:r w:rsidRPr="00E80661">
        <w:rPr>
          <w:szCs w:val="22"/>
        </w:rPr>
        <w:t xml:space="preserve">are included in this report. </w:t>
      </w:r>
      <w:r w:rsidR="00A51DE1" w:rsidRPr="00E80661">
        <w:rPr>
          <w:szCs w:val="22"/>
        </w:rPr>
        <w:t xml:space="preserve">Taking in account </w:t>
      </w:r>
      <w:r w:rsidR="00962A49" w:rsidRPr="00E80661">
        <w:rPr>
          <w:szCs w:val="22"/>
        </w:rPr>
        <w:t>its</w:t>
      </w:r>
      <w:r w:rsidR="00A51DE1" w:rsidRPr="00E80661">
        <w:rPr>
          <w:szCs w:val="22"/>
        </w:rPr>
        <w:t xml:space="preserve"> date of </w:t>
      </w:r>
      <w:r w:rsidR="00962A49" w:rsidRPr="00E80661">
        <w:rPr>
          <w:szCs w:val="22"/>
        </w:rPr>
        <w:t xml:space="preserve">presentation and </w:t>
      </w:r>
      <w:r w:rsidR="00A51DE1" w:rsidRPr="00E80661">
        <w:rPr>
          <w:szCs w:val="22"/>
        </w:rPr>
        <w:t xml:space="preserve">adoption </w:t>
      </w:r>
      <w:r w:rsidR="00962A49" w:rsidRPr="00E80661">
        <w:rPr>
          <w:szCs w:val="22"/>
        </w:rPr>
        <w:t xml:space="preserve">at </w:t>
      </w:r>
      <w:r w:rsidR="00EF4EAF" w:rsidRPr="00E80661">
        <w:rPr>
          <w:szCs w:val="22"/>
        </w:rPr>
        <w:t xml:space="preserve">the </w:t>
      </w:r>
      <w:r w:rsidR="00962A49" w:rsidRPr="00E80661">
        <w:rPr>
          <w:szCs w:val="22"/>
        </w:rPr>
        <w:t>C</w:t>
      </w:r>
      <w:r w:rsidR="00A51DE1" w:rsidRPr="00E80661">
        <w:rPr>
          <w:szCs w:val="22"/>
        </w:rPr>
        <w:t>oR</w:t>
      </w:r>
      <w:r w:rsidR="00EF4EAF" w:rsidRPr="00E80661">
        <w:rPr>
          <w:szCs w:val="22"/>
        </w:rPr>
        <w:t>'s</w:t>
      </w:r>
      <w:r w:rsidR="00A51DE1" w:rsidRPr="00E80661">
        <w:rPr>
          <w:szCs w:val="22"/>
        </w:rPr>
        <w:t xml:space="preserve"> July</w:t>
      </w:r>
      <w:r w:rsidR="00EF4EAF" w:rsidRPr="00E80661">
        <w:rPr>
          <w:szCs w:val="22"/>
        </w:rPr>
        <w:t xml:space="preserve"> 2017 p</w:t>
      </w:r>
      <w:r w:rsidR="00A51DE1" w:rsidRPr="00E80661">
        <w:rPr>
          <w:szCs w:val="22"/>
        </w:rPr>
        <w:t xml:space="preserve">lenary </w:t>
      </w:r>
      <w:r w:rsidR="00EF4EAF" w:rsidRPr="00E80661">
        <w:rPr>
          <w:szCs w:val="22"/>
        </w:rPr>
        <w:t>s</w:t>
      </w:r>
      <w:r w:rsidR="00A51DE1" w:rsidRPr="00E80661">
        <w:rPr>
          <w:szCs w:val="22"/>
        </w:rPr>
        <w:t>ession</w:t>
      </w:r>
      <w:r w:rsidR="00962A49" w:rsidRPr="00E80661">
        <w:rPr>
          <w:szCs w:val="22"/>
        </w:rPr>
        <w:t>,</w:t>
      </w:r>
      <w:r w:rsidR="00A51DE1" w:rsidRPr="00E80661">
        <w:rPr>
          <w:szCs w:val="22"/>
        </w:rPr>
        <w:t xml:space="preserve"> </w:t>
      </w:r>
      <w:r w:rsidR="00962A49" w:rsidRPr="00E80661">
        <w:rPr>
          <w:szCs w:val="22"/>
        </w:rPr>
        <w:t>t</w:t>
      </w:r>
      <w:r w:rsidR="00A51DE1" w:rsidRPr="00E80661">
        <w:rPr>
          <w:szCs w:val="22"/>
        </w:rPr>
        <w:t xml:space="preserve">his report includes the impact </w:t>
      </w:r>
      <w:r w:rsidR="00EF4EAF" w:rsidRPr="00E80661">
        <w:rPr>
          <w:szCs w:val="22"/>
        </w:rPr>
        <w:t>un</w:t>
      </w:r>
      <w:r w:rsidR="00A51DE1" w:rsidRPr="00E80661">
        <w:rPr>
          <w:szCs w:val="22"/>
        </w:rPr>
        <w:t xml:space="preserve">til May 2017. </w:t>
      </w:r>
      <w:r w:rsidRPr="00E80661">
        <w:rPr>
          <w:szCs w:val="22"/>
        </w:rPr>
        <w:t xml:space="preserve">Opinions on </w:t>
      </w:r>
      <w:r w:rsidRPr="00E80661">
        <w:rPr>
          <w:b/>
          <w:szCs w:val="22"/>
        </w:rPr>
        <w:t>legislative proposals are highlighted</w:t>
      </w:r>
      <w:r w:rsidR="00090F42" w:rsidRPr="00E80661">
        <w:rPr>
          <w:b/>
          <w:szCs w:val="22"/>
        </w:rPr>
        <w:t xml:space="preserve"> </w:t>
      </w:r>
      <w:r w:rsidRPr="00E80661">
        <w:rPr>
          <w:szCs w:val="22"/>
        </w:rPr>
        <w:t xml:space="preserve">in the text. </w:t>
      </w:r>
    </w:p>
    <w:p w14:paraId="5C55BBE5" w14:textId="77777777" w:rsidR="00E30AD8" w:rsidRPr="00E80661" w:rsidRDefault="00E30AD8" w:rsidP="005B2CFF">
      <w:pPr>
        <w:rPr>
          <w:szCs w:val="22"/>
        </w:rPr>
      </w:pPr>
    </w:p>
    <w:p w14:paraId="5C55BBE6" w14:textId="77777777" w:rsidR="00E30AD8" w:rsidRPr="00E80661" w:rsidRDefault="00E30AD8" w:rsidP="005B2CFF">
      <w:pPr>
        <w:rPr>
          <w:szCs w:val="22"/>
        </w:rPr>
      </w:pPr>
      <w:r w:rsidRPr="00E80661">
        <w:rPr>
          <w:szCs w:val="22"/>
        </w:rPr>
        <w:t xml:space="preserve">The following criteria were used to </w:t>
      </w:r>
      <w:r w:rsidR="00090F42" w:rsidRPr="00E80661">
        <w:rPr>
          <w:szCs w:val="22"/>
        </w:rPr>
        <w:t xml:space="preserve">determine </w:t>
      </w:r>
      <w:r w:rsidRPr="00E80661">
        <w:rPr>
          <w:szCs w:val="22"/>
        </w:rPr>
        <w:t>the impact of the opinion:</w:t>
      </w:r>
    </w:p>
    <w:p w14:paraId="5C55BBE7" w14:textId="77777777" w:rsidR="00340F6A" w:rsidRPr="00E80661" w:rsidRDefault="00340F6A" w:rsidP="005B2CFF">
      <w:pPr>
        <w:rPr>
          <w:szCs w:val="22"/>
        </w:rPr>
      </w:pPr>
    </w:p>
    <w:p w14:paraId="5C55BBE8" w14:textId="77777777" w:rsidR="00E30AD8" w:rsidRPr="00E80661" w:rsidRDefault="00090F42" w:rsidP="00644601">
      <w:pPr>
        <w:pStyle w:val="ListParagraph"/>
        <w:numPr>
          <w:ilvl w:val="0"/>
          <w:numId w:val="17"/>
        </w:numPr>
        <w:rPr>
          <w:szCs w:val="22"/>
        </w:rPr>
      </w:pPr>
      <w:r w:rsidRPr="00E80661">
        <w:rPr>
          <w:szCs w:val="22"/>
        </w:rPr>
        <w:t xml:space="preserve">Specific </w:t>
      </w:r>
      <w:r w:rsidR="005B2CFF" w:rsidRPr="00E80661">
        <w:rPr>
          <w:szCs w:val="22"/>
        </w:rPr>
        <w:t>CoR proposals adopted in final legislation;</w:t>
      </w:r>
    </w:p>
    <w:p w14:paraId="5C55BBE9" w14:textId="77777777" w:rsidR="00E30AD8" w:rsidRPr="00E80661" w:rsidRDefault="005B2CFF" w:rsidP="00644601">
      <w:pPr>
        <w:pStyle w:val="ListParagraph"/>
        <w:numPr>
          <w:ilvl w:val="0"/>
          <w:numId w:val="18"/>
        </w:numPr>
        <w:rPr>
          <w:szCs w:val="22"/>
        </w:rPr>
      </w:pPr>
      <w:r w:rsidRPr="00E80661">
        <w:rPr>
          <w:szCs w:val="22"/>
        </w:rPr>
        <w:t>CoR policy recommendations considered in proposed legislation or in legislative procedures;</w:t>
      </w:r>
    </w:p>
    <w:p w14:paraId="5C55BBEA" w14:textId="77777777" w:rsidR="00E30AD8" w:rsidRPr="00E80661" w:rsidRDefault="005B2CFF" w:rsidP="00644601">
      <w:pPr>
        <w:pStyle w:val="ListParagraph"/>
        <w:numPr>
          <w:ilvl w:val="0"/>
          <w:numId w:val="19"/>
        </w:numPr>
        <w:rPr>
          <w:szCs w:val="22"/>
        </w:rPr>
      </w:pPr>
      <w:r w:rsidRPr="00E80661">
        <w:rPr>
          <w:szCs w:val="22"/>
        </w:rPr>
        <w:t>CoR positions which have made a major contribution</w:t>
      </w:r>
      <w:r w:rsidR="008345B3" w:rsidRPr="00E80661">
        <w:rPr>
          <w:szCs w:val="22"/>
        </w:rPr>
        <w:t xml:space="preserve"> to</w:t>
      </w:r>
      <w:r w:rsidRPr="00E80661">
        <w:rPr>
          <w:szCs w:val="22"/>
        </w:rPr>
        <w:t xml:space="preserve"> ongoing political debates;</w:t>
      </w:r>
    </w:p>
    <w:p w14:paraId="5C55BBEB" w14:textId="37AB4B7A" w:rsidR="00E30AD8" w:rsidRPr="00E80661" w:rsidRDefault="008345B3" w:rsidP="00644601">
      <w:pPr>
        <w:pStyle w:val="ListParagraph"/>
        <w:numPr>
          <w:ilvl w:val="0"/>
          <w:numId w:val="20"/>
        </w:numPr>
        <w:rPr>
          <w:szCs w:val="22"/>
        </w:rPr>
      </w:pPr>
      <w:r w:rsidRPr="00E80661">
        <w:rPr>
          <w:szCs w:val="22"/>
        </w:rPr>
        <w:t>R</w:t>
      </w:r>
      <w:r w:rsidR="005B2CFF" w:rsidRPr="00E80661">
        <w:rPr>
          <w:szCs w:val="22"/>
        </w:rPr>
        <w:t xml:space="preserve">eferences made to CoR positions in other EU documents, e.g. </w:t>
      </w:r>
      <w:r w:rsidR="00110331" w:rsidRPr="00E80661">
        <w:rPr>
          <w:szCs w:val="22"/>
        </w:rPr>
        <w:t>R</w:t>
      </w:r>
      <w:r w:rsidR="005B2CFF" w:rsidRPr="00E80661">
        <w:rPr>
          <w:szCs w:val="22"/>
        </w:rPr>
        <w:t>esolutions of the European Parliament</w:t>
      </w:r>
      <w:r w:rsidR="002004C1" w:rsidRPr="00E80661">
        <w:rPr>
          <w:szCs w:val="22"/>
        </w:rPr>
        <w:t xml:space="preserve"> (EP)</w:t>
      </w:r>
      <w:r w:rsidR="005B2CFF" w:rsidRPr="00E80661">
        <w:rPr>
          <w:szCs w:val="22"/>
        </w:rPr>
        <w:t xml:space="preserve">. </w:t>
      </w:r>
    </w:p>
    <w:p w14:paraId="5C55BBEC" w14:textId="77777777" w:rsidR="00E30AD8" w:rsidRPr="00E80661" w:rsidRDefault="00E30AD8" w:rsidP="005B2CFF">
      <w:pPr>
        <w:rPr>
          <w:szCs w:val="22"/>
        </w:rPr>
      </w:pPr>
    </w:p>
    <w:p w14:paraId="5C55BBED" w14:textId="77777777" w:rsidR="00E30AD8" w:rsidRPr="00E80661" w:rsidRDefault="00E30AD8" w:rsidP="005B2CFF">
      <w:pPr>
        <w:rPr>
          <w:szCs w:val="22"/>
        </w:rPr>
      </w:pPr>
      <w:r w:rsidRPr="00E80661">
        <w:rPr>
          <w:szCs w:val="22"/>
        </w:rPr>
        <w:t xml:space="preserve">The following resources </w:t>
      </w:r>
      <w:r w:rsidR="00090F42" w:rsidRPr="00E80661">
        <w:rPr>
          <w:szCs w:val="22"/>
        </w:rPr>
        <w:t>were</w:t>
      </w:r>
      <w:r w:rsidRPr="00E80661">
        <w:rPr>
          <w:szCs w:val="22"/>
        </w:rPr>
        <w:t xml:space="preserve"> used to compile this report:</w:t>
      </w:r>
    </w:p>
    <w:p w14:paraId="5C55BBEE" w14:textId="77777777" w:rsidR="00E30AD8" w:rsidRPr="00E80661" w:rsidRDefault="00E30AD8" w:rsidP="005B2CFF">
      <w:pPr>
        <w:rPr>
          <w:szCs w:val="22"/>
        </w:rPr>
      </w:pPr>
    </w:p>
    <w:p w14:paraId="5C55BBEF" w14:textId="13E7CBBC" w:rsidR="00E30AD8" w:rsidRPr="00E80661" w:rsidRDefault="005B2CFF" w:rsidP="00644601">
      <w:pPr>
        <w:pStyle w:val="ListParagraph"/>
        <w:numPr>
          <w:ilvl w:val="0"/>
          <w:numId w:val="12"/>
        </w:numPr>
        <w:rPr>
          <w:szCs w:val="22"/>
        </w:rPr>
      </w:pPr>
      <w:r w:rsidRPr="00E80661">
        <w:rPr>
          <w:b/>
          <w:szCs w:val="22"/>
        </w:rPr>
        <w:t>Contributions from all of the commissions</w:t>
      </w:r>
      <w:r w:rsidRPr="00E80661">
        <w:rPr>
          <w:szCs w:val="22"/>
        </w:rPr>
        <w:t xml:space="preserve"> to the Impact Report</w:t>
      </w:r>
      <w:r w:rsidRPr="00E80661">
        <w:rPr>
          <w:rStyle w:val="FootnoteReference"/>
          <w:sz w:val="22"/>
        </w:rPr>
        <w:footnoteReference w:id="2"/>
      </w:r>
      <w:r w:rsidRPr="00E80661">
        <w:rPr>
          <w:szCs w:val="22"/>
        </w:rPr>
        <w:t xml:space="preserve">: each commission held a debate on the impact of </w:t>
      </w:r>
      <w:r w:rsidR="00090F42" w:rsidRPr="00E80661">
        <w:rPr>
          <w:szCs w:val="22"/>
        </w:rPr>
        <w:t xml:space="preserve">its </w:t>
      </w:r>
      <w:r w:rsidRPr="00E80661">
        <w:rPr>
          <w:szCs w:val="22"/>
        </w:rPr>
        <w:t xml:space="preserve">opinions in </w:t>
      </w:r>
      <w:r w:rsidR="00165DD2" w:rsidRPr="00E80661">
        <w:rPr>
          <w:szCs w:val="22"/>
        </w:rPr>
        <w:t>2017</w:t>
      </w:r>
      <w:r w:rsidR="00EF4EAF" w:rsidRPr="00E80661">
        <w:rPr>
          <w:szCs w:val="22"/>
        </w:rPr>
        <w:t>;</w:t>
      </w:r>
    </w:p>
    <w:p w14:paraId="5C55BBF0" w14:textId="417B576C" w:rsidR="00E30AD8" w:rsidRPr="00E80661" w:rsidRDefault="005B2CFF" w:rsidP="00644601">
      <w:pPr>
        <w:pStyle w:val="ListParagraph"/>
        <w:numPr>
          <w:ilvl w:val="0"/>
          <w:numId w:val="13"/>
        </w:numPr>
        <w:rPr>
          <w:szCs w:val="22"/>
        </w:rPr>
      </w:pPr>
      <w:r w:rsidRPr="00E80661">
        <w:rPr>
          <w:szCs w:val="22"/>
        </w:rPr>
        <w:t xml:space="preserve">The </w:t>
      </w:r>
      <w:r w:rsidR="00747F5C" w:rsidRPr="00E80661">
        <w:rPr>
          <w:szCs w:val="22"/>
        </w:rPr>
        <w:t xml:space="preserve">CoR </w:t>
      </w:r>
      <w:r w:rsidRPr="00E80661">
        <w:rPr>
          <w:szCs w:val="22"/>
        </w:rPr>
        <w:t xml:space="preserve">Resolution on the </w:t>
      </w:r>
      <w:r w:rsidRPr="00E80661">
        <w:rPr>
          <w:b/>
          <w:szCs w:val="22"/>
        </w:rPr>
        <w:t>European Commission's Work Programme for 201</w:t>
      </w:r>
      <w:r w:rsidR="0067702D" w:rsidRPr="00E80661">
        <w:rPr>
          <w:b/>
          <w:szCs w:val="22"/>
        </w:rPr>
        <w:t>6</w:t>
      </w:r>
      <w:r w:rsidRPr="00E80661">
        <w:rPr>
          <w:rStyle w:val="FootnoteReference"/>
          <w:sz w:val="22"/>
        </w:rPr>
        <w:footnoteReference w:id="3"/>
      </w:r>
      <w:r w:rsidR="00EF4EAF" w:rsidRPr="00E80661">
        <w:rPr>
          <w:szCs w:val="22"/>
        </w:rPr>
        <w:t>;</w:t>
      </w:r>
    </w:p>
    <w:p w14:paraId="5C55BBF1" w14:textId="33D59B62" w:rsidR="00E30AD8" w:rsidRPr="00E80661" w:rsidRDefault="005B2CFF" w:rsidP="00644601">
      <w:pPr>
        <w:pStyle w:val="ListParagraph"/>
        <w:numPr>
          <w:ilvl w:val="0"/>
          <w:numId w:val="14"/>
        </w:numPr>
        <w:rPr>
          <w:szCs w:val="22"/>
        </w:rPr>
      </w:pPr>
      <w:r w:rsidRPr="00E80661">
        <w:rPr>
          <w:szCs w:val="22"/>
        </w:rPr>
        <w:t>The Bureau decision on</w:t>
      </w:r>
      <w:r w:rsidR="00066133" w:rsidRPr="00E80661">
        <w:rPr>
          <w:szCs w:val="22"/>
        </w:rPr>
        <w:t xml:space="preserve"> the</w:t>
      </w:r>
      <w:r w:rsidRPr="00E80661">
        <w:rPr>
          <w:szCs w:val="22"/>
        </w:rPr>
        <w:t xml:space="preserve"> </w:t>
      </w:r>
      <w:r w:rsidR="001D08E3" w:rsidRPr="00E80661">
        <w:rPr>
          <w:b/>
          <w:szCs w:val="22"/>
        </w:rPr>
        <w:t xml:space="preserve">2016 </w:t>
      </w:r>
      <w:r w:rsidRPr="00E80661">
        <w:rPr>
          <w:b/>
          <w:szCs w:val="22"/>
        </w:rPr>
        <w:t xml:space="preserve">Work Programmes of Commissions, Networks and </w:t>
      </w:r>
      <w:r w:rsidR="003530FB" w:rsidRPr="00E80661">
        <w:rPr>
          <w:b/>
          <w:szCs w:val="22"/>
        </w:rPr>
        <w:t>Platforms</w:t>
      </w:r>
      <w:r w:rsidRPr="00E80661">
        <w:rPr>
          <w:rStyle w:val="FootnoteReference"/>
          <w:sz w:val="22"/>
        </w:rPr>
        <w:footnoteReference w:id="4"/>
      </w:r>
      <w:r w:rsidR="00EF4EAF" w:rsidRPr="00E80661">
        <w:rPr>
          <w:szCs w:val="22"/>
        </w:rPr>
        <w:t>;</w:t>
      </w:r>
    </w:p>
    <w:p w14:paraId="5C55BBF2" w14:textId="77777777" w:rsidR="00E30AD8" w:rsidRPr="00E80661" w:rsidRDefault="005B2CFF" w:rsidP="00644601">
      <w:pPr>
        <w:pStyle w:val="ListParagraph"/>
        <w:numPr>
          <w:ilvl w:val="0"/>
          <w:numId w:val="15"/>
        </w:numPr>
        <w:rPr>
          <w:szCs w:val="22"/>
        </w:rPr>
      </w:pPr>
      <w:r w:rsidRPr="00E80661">
        <w:rPr>
          <w:szCs w:val="22"/>
        </w:rPr>
        <w:t>The</w:t>
      </w:r>
      <w:r w:rsidRPr="00E80661">
        <w:rPr>
          <w:b/>
          <w:szCs w:val="22"/>
        </w:rPr>
        <w:t xml:space="preserve"> </w:t>
      </w:r>
      <w:r w:rsidR="00546F14" w:rsidRPr="00E80661">
        <w:rPr>
          <w:b/>
          <w:szCs w:val="22"/>
        </w:rPr>
        <w:t>r</w:t>
      </w:r>
      <w:r w:rsidRPr="00E80661">
        <w:rPr>
          <w:b/>
          <w:szCs w:val="22"/>
        </w:rPr>
        <w:t xml:space="preserve">eports from the European Commission on </w:t>
      </w:r>
      <w:r w:rsidR="00546F14" w:rsidRPr="00E80661">
        <w:rPr>
          <w:b/>
          <w:szCs w:val="22"/>
        </w:rPr>
        <w:t>its</w:t>
      </w:r>
      <w:r w:rsidRPr="00E80661">
        <w:rPr>
          <w:b/>
          <w:szCs w:val="22"/>
        </w:rPr>
        <w:t xml:space="preserve"> follow-up to Co</w:t>
      </w:r>
      <w:r w:rsidR="00090415" w:rsidRPr="00E80661">
        <w:rPr>
          <w:b/>
          <w:szCs w:val="22"/>
        </w:rPr>
        <w:t>R</w:t>
      </w:r>
      <w:r w:rsidR="00A73114" w:rsidRPr="00E80661">
        <w:rPr>
          <w:b/>
          <w:szCs w:val="22"/>
        </w:rPr>
        <w:t xml:space="preserve"> </w:t>
      </w:r>
      <w:r w:rsidRPr="00E80661">
        <w:rPr>
          <w:b/>
          <w:szCs w:val="22"/>
        </w:rPr>
        <w:t>opinions</w:t>
      </w:r>
      <w:r w:rsidRPr="00E80661">
        <w:rPr>
          <w:szCs w:val="22"/>
        </w:rPr>
        <w:t>. A few months after the adoption of opinions, the European Commission</w:t>
      </w:r>
      <w:r w:rsidR="002004C1" w:rsidRPr="00E80661">
        <w:rPr>
          <w:szCs w:val="22"/>
        </w:rPr>
        <w:t xml:space="preserve"> (EC)</w:t>
      </w:r>
      <w:r w:rsidRPr="00E80661">
        <w:rPr>
          <w:szCs w:val="22"/>
        </w:rPr>
        <w:t xml:space="preserve"> </w:t>
      </w:r>
      <w:r w:rsidR="00747F5C" w:rsidRPr="00E80661">
        <w:rPr>
          <w:szCs w:val="22"/>
        </w:rPr>
        <w:t>sends the CoR</w:t>
      </w:r>
      <w:r w:rsidRPr="00E80661">
        <w:rPr>
          <w:szCs w:val="22"/>
        </w:rPr>
        <w:t xml:space="preserve"> a report on its follow-up to CoR opinions. These are </w:t>
      </w:r>
      <w:r w:rsidR="00780B18" w:rsidRPr="00E80661">
        <w:rPr>
          <w:szCs w:val="22"/>
        </w:rPr>
        <w:t xml:space="preserve">also </w:t>
      </w:r>
      <w:r w:rsidRPr="00E80661">
        <w:rPr>
          <w:szCs w:val="22"/>
        </w:rPr>
        <w:t>published on the Committee's website.</w:t>
      </w:r>
    </w:p>
    <w:p w14:paraId="5C55BBF3" w14:textId="48367D72" w:rsidR="00F26391" w:rsidRPr="00E80661" w:rsidRDefault="00877E88" w:rsidP="00644601">
      <w:pPr>
        <w:pStyle w:val="ListParagraph"/>
        <w:numPr>
          <w:ilvl w:val="0"/>
          <w:numId w:val="16"/>
        </w:numPr>
        <w:rPr>
          <w:szCs w:val="22"/>
        </w:rPr>
      </w:pPr>
      <w:r w:rsidRPr="00E80661">
        <w:rPr>
          <w:b/>
          <w:szCs w:val="22"/>
        </w:rPr>
        <w:t>Kiklos</w:t>
      </w:r>
      <w:r w:rsidR="00C86922" w:rsidRPr="00E80661">
        <w:rPr>
          <w:b/>
          <w:szCs w:val="22"/>
        </w:rPr>
        <w:t xml:space="preserve"> impact fields</w:t>
      </w:r>
      <w:r w:rsidR="00885EA2" w:rsidRPr="00E80661">
        <w:rPr>
          <w:szCs w:val="22"/>
        </w:rPr>
        <w:t>:</w:t>
      </w:r>
      <w:r w:rsidR="00C86922" w:rsidRPr="00E80661">
        <w:rPr>
          <w:szCs w:val="22"/>
        </w:rPr>
        <w:t xml:space="preserve"> Kiklos is a new online platform for better planning and follow-up of the political work </w:t>
      </w:r>
      <w:r w:rsidR="00885EA2" w:rsidRPr="00E80661">
        <w:rPr>
          <w:szCs w:val="22"/>
        </w:rPr>
        <w:t xml:space="preserve">carried out by </w:t>
      </w:r>
      <w:r w:rsidR="00C86922" w:rsidRPr="00E80661">
        <w:rPr>
          <w:szCs w:val="22"/>
        </w:rPr>
        <w:t>the CoR</w:t>
      </w:r>
      <w:r w:rsidR="00AB37D2" w:rsidRPr="00E80661">
        <w:rPr>
          <w:rStyle w:val="FootnoteReference"/>
          <w:szCs w:val="22"/>
        </w:rPr>
        <w:footnoteReference w:id="5"/>
      </w:r>
      <w:r w:rsidR="00C86922" w:rsidRPr="00E80661">
        <w:rPr>
          <w:szCs w:val="22"/>
        </w:rPr>
        <w:t xml:space="preserve">. </w:t>
      </w:r>
      <w:r w:rsidR="00C14B3B" w:rsidRPr="00E80661">
        <w:rPr>
          <w:szCs w:val="22"/>
        </w:rPr>
        <w:t>Dedicated</w:t>
      </w:r>
      <w:r w:rsidR="00C86922" w:rsidRPr="00E80661">
        <w:rPr>
          <w:szCs w:val="22"/>
        </w:rPr>
        <w:t xml:space="preserve"> </w:t>
      </w:r>
      <w:r w:rsidRPr="00E80661">
        <w:rPr>
          <w:szCs w:val="22"/>
        </w:rPr>
        <w:t>impact fields of adopted CoR opinions are</w:t>
      </w:r>
      <w:r w:rsidR="005B2CFF" w:rsidRPr="00E80661">
        <w:rPr>
          <w:szCs w:val="22"/>
        </w:rPr>
        <w:t xml:space="preserve"> </w:t>
      </w:r>
      <w:r w:rsidR="00C14B3B" w:rsidRPr="00E80661">
        <w:rPr>
          <w:szCs w:val="22"/>
        </w:rPr>
        <w:t xml:space="preserve">available in Kiklos and are </w:t>
      </w:r>
      <w:r w:rsidR="005B2CFF" w:rsidRPr="00E80661">
        <w:rPr>
          <w:szCs w:val="22"/>
        </w:rPr>
        <w:t xml:space="preserve">regularly updated by </w:t>
      </w:r>
      <w:r w:rsidR="00546F14" w:rsidRPr="00E80661">
        <w:rPr>
          <w:szCs w:val="22"/>
        </w:rPr>
        <w:t xml:space="preserve">the </w:t>
      </w:r>
      <w:r w:rsidR="005B2CFF" w:rsidRPr="00E80661">
        <w:rPr>
          <w:szCs w:val="22"/>
        </w:rPr>
        <w:t xml:space="preserve">commission secretariats, in </w:t>
      </w:r>
      <w:r w:rsidRPr="00E80661">
        <w:rPr>
          <w:szCs w:val="22"/>
        </w:rPr>
        <w:t xml:space="preserve">coordination </w:t>
      </w:r>
      <w:r w:rsidR="005B2CFF" w:rsidRPr="00E80661">
        <w:rPr>
          <w:szCs w:val="22"/>
        </w:rPr>
        <w:t xml:space="preserve">with rapporteurs and political groups, in order to monitor the </w:t>
      </w:r>
      <w:r w:rsidRPr="00E80661">
        <w:rPr>
          <w:szCs w:val="22"/>
        </w:rPr>
        <w:t>impact</w:t>
      </w:r>
      <w:r w:rsidR="005B2CFF" w:rsidRPr="00E80661">
        <w:rPr>
          <w:szCs w:val="22"/>
        </w:rPr>
        <w:t xml:space="preserve"> </w:t>
      </w:r>
      <w:r w:rsidRPr="00E80661">
        <w:rPr>
          <w:szCs w:val="22"/>
        </w:rPr>
        <w:t>of CoR</w:t>
      </w:r>
      <w:r w:rsidR="005B2CFF" w:rsidRPr="00E80661">
        <w:rPr>
          <w:szCs w:val="22"/>
        </w:rPr>
        <w:t xml:space="preserve"> opinions</w:t>
      </w:r>
      <w:r w:rsidRPr="00E80661">
        <w:rPr>
          <w:szCs w:val="22"/>
        </w:rPr>
        <w:t xml:space="preserve"> on the EU decision-making process with special regard to the European Commission, the European Parliament and the Council of the EU</w:t>
      </w:r>
      <w:r w:rsidR="005B2CFF" w:rsidRPr="00E80661">
        <w:rPr>
          <w:szCs w:val="22"/>
        </w:rPr>
        <w:t xml:space="preserve">. They also refer to </w:t>
      </w:r>
      <w:r w:rsidR="00885EA2" w:rsidRPr="00E80661">
        <w:rPr>
          <w:szCs w:val="22"/>
        </w:rPr>
        <w:t xml:space="preserve">specific </w:t>
      </w:r>
      <w:r w:rsidR="005B2CFF" w:rsidRPr="00E80661">
        <w:rPr>
          <w:szCs w:val="22"/>
        </w:rPr>
        <w:t xml:space="preserve">activities linked to the opinion </w:t>
      </w:r>
      <w:r w:rsidR="00885EA2" w:rsidRPr="00E80661">
        <w:rPr>
          <w:szCs w:val="22"/>
        </w:rPr>
        <w:t>that</w:t>
      </w:r>
      <w:r w:rsidR="005B2CFF" w:rsidRPr="00E80661">
        <w:rPr>
          <w:szCs w:val="22"/>
        </w:rPr>
        <w:t xml:space="preserve"> helped to promote the opinion's objectives (interinstitutional meetings, high</w:t>
      </w:r>
      <w:r w:rsidR="00A87111" w:rsidRPr="00E80661">
        <w:rPr>
          <w:szCs w:val="22"/>
        </w:rPr>
        <w:t>-</w:t>
      </w:r>
      <w:r w:rsidR="005B2CFF" w:rsidRPr="00E80661">
        <w:rPr>
          <w:szCs w:val="22"/>
        </w:rPr>
        <w:t>level conferences, seminars, etc.).</w:t>
      </w:r>
    </w:p>
    <w:p w14:paraId="5C55BBF4" w14:textId="77777777" w:rsidR="00FF7F84" w:rsidRPr="00E80661" w:rsidRDefault="00FF7F84" w:rsidP="00FF7F84">
      <w:pPr>
        <w:rPr>
          <w:szCs w:val="22"/>
        </w:rPr>
      </w:pPr>
    </w:p>
    <w:p w14:paraId="5C55BBF5" w14:textId="537CEA7A" w:rsidR="00FF7F84" w:rsidRPr="00E80661" w:rsidRDefault="00FF7F84" w:rsidP="00FF7F84">
      <w:pPr>
        <w:rPr>
          <w:szCs w:val="22"/>
        </w:rPr>
      </w:pPr>
      <w:r w:rsidRPr="00E80661">
        <w:rPr>
          <w:szCs w:val="22"/>
        </w:rPr>
        <w:t>Together with the impact report</w:t>
      </w:r>
      <w:r w:rsidR="009C515E" w:rsidRPr="00E80661">
        <w:rPr>
          <w:szCs w:val="22"/>
        </w:rPr>
        <w:t>,</w:t>
      </w:r>
      <w:r w:rsidRPr="00E80661">
        <w:rPr>
          <w:szCs w:val="22"/>
        </w:rPr>
        <w:t xml:space="preserve"> the CoR secretariat general also tables an annual activity report which focuses on the activities and events of the Committee.</w:t>
      </w:r>
    </w:p>
    <w:p w14:paraId="5C55BBF6" w14:textId="77777777" w:rsidR="00204B99" w:rsidRPr="00E80661" w:rsidRDefault="00204B99" w:rsidP="00EB1DDC">
      <w:pPr>
        <w:rPr>
          <w:szCs w:val="22"/>
        </w:rPr>
      </w:pPr>
    </w:p>
    <w:p w14:paraId="5C55BBF7" w14:textId="58F78014" w:rsidR="00EB1DDC" w:rsidRPr="00E80661" w:rsidRDefault="00EB1DDC" w:rsidP="00EB1DDC">
      <w:r w:rsidRPr="00E80661">
        <w:rPr>
          <w:b/>
          <w:szCs w:val="22"/>
          <w:u w:val="single"/>
        </w:rPr>
        <w:t xml:space="preserve">Interinstitutional </w:t>
      </w:r>
      <w:r w:rsidR="00A94C9E" w:rsidRPr="00E80661">
        <w:rPr>
          <w:b/>
          <w:szCs w:val="22"/>
          <w:u w:val="single"/>
        </w:rPr>
        <w:t xml:space="preserve">initiatives and </w:t>
      </w:r>
      <w:r w:rsidRPr="00E80661">
        <w:rPr>
          <w:b/>
          <w:szCs w:val="22"/>
          <w:u w:val="single"/>
        </w:rPr>
        <w:t>follow-up</w:t>
      </w:r>
      <w:r w:rsidRPr="00E80661">
        <w:t xml:space="preserve"> </w:t>
      </w:r>
    </w:p>
    <w:p w14:paraId="5C55BBF8" w14:textId="77777777" w:rsidR="00EB1DDC" w:rsidRPr="00E80661" w:rsidRDefault="00EB1DDC" w:rsidP="00EB1DDC"/>
    <w:p w14:paraId="5C55BBF9" w14:textId="6D5312CE" w:rsidR="00A94C9E" w:rsidRPr="00E80661" w:rsidRDefault="005D11C8" w:rsidP="00EB1DDC">
      <w:r w:rsidRPr="00E80661">
        <w:t>In 2016</w:t>
      </w:r>
      <w:r w:rsidR="00D63D06" w:rsidRPr="00E80661">
        <w:t>,</w:t>
      </w:r>
      <w:r w:rsidRPr="00E80661">
        <w:t xml:space="preserve"> the CoR undertook new ambitious </w:t>
      </w:r>
      <w:r w:rsidR="00D63D06" w:rsidRPr="00E80661">
        <w:t xml:space="preserve">cross-cutting </w:t>
      </w:r>
      <w:r w:rsidRPr="00E80661">
        <w:t xml:space="preserve">and thematic initiatives with a high potential </w:t>
      </w:r>
      <w:r w:rsidR="00D63D06" w:rsidRPr="00E80661">
        <w:t>to channel</w:t>
      </w:r>
      <w:r w:rsidRPr="00E80661">
        <w:t xml:space="preserve"> meaningful input from </w:t>
      </w:r>
      <w:r w:rsidR="00D63D06" w:rsidRPr="00E80661">
        <w:t>l</w:t>
      </w:r>
      <w:r w:rsidRPr="00E80661">
        <w:t xml:space="preserve">ocal and </w:t>
      </w:r>
      <w:r w:rsidR="00D63D06" w:rsidRPr="00E80661">
        <w:t>r</w:t>
      </w:r>
      <w:r w:rsidRPr="00E80661">
        <w:t xml:space="preserve">egional authorities </w:t>
      </w:r>
      <w:r w:rsidR="00D63D06" w:rsidRPr="00E80661">
        <w:t>in</w:t>
      </w:r>
      <w:r w:rsidRPr="00E80661">
        <w:t xml:space="preserve">to the EU decision-making process. </w:t>
      </w:r>
    </w:p>
    <w:p w14:paraId="5C55BBFA" w14:textId="77777777" w:rsidR="00A94C9E" w:rsidRPr="00E80661" w:rsidRDefault="00A94C9E" w:rsidP="00EB1DDC"/>
    <w:p w14:paraId="5C55BBFB" w14:textId="77777777" w:rsidR="00A94C9E" w:rsidRPr="00E80661" w:rsidRDefault="00A94C9E" w:rsidP="00EB1DDC">
      <w:pPr>
        <w:rPr>
          <w:i/>
        </w:rPr>
      </w:pPr>
      <w:r w:rsidRPr="00E80661">
        <w:rPr>
          <w:i/>
        </w:rPr>
        <w:t>Reflecting on Europe process</w:t>
      </w:r>
    </w:p>
    <w:p w14:paraId="5C55BBFC" w14:textId="3B59523E" w:rsidR="005D11C8" w:rsidRPr="00E80661" w:rsidRDefault="005D11C8" w:rsidP="00EB1DDC">
      <w:r w:rsidRPr="00E80661">
        <w:t xml:space="preserve">A core </w:t>
      </w:r>
      <w:r w:rsidR="00D63D06" w:rsidRPr="00E80661">
        <w:t xml:space="preserve">cross-cutting </w:t>
      </w:r>
      <w:r w:rsidRPr="00E80661">
        <w:t xml:space="preserve">activity launched by the CoR in 2016 is </w:t>
      </w:r>
      <w:r w:rsidR="00A94C9E" w:rsidRPr="00E80661">
        <w:t>"</w:t>
      </w:r>
      <w:r w:rsidRPr="00E80661">
        <w:t>Reflecting on Europe</w:t>
      </w:r>
      <w:r w:rsidR="00A94C9E" w:rsidRPr="00E80661">
        <w:t>"</w:t>
      </w:r>
      <w:r w:rsidRPr="00E80661">
        <w:t xml:space="preserve"> – a broad bottom-up consultation exercise</w:t>
      </w:r>
      <w:r w:rsidR="00A94C9E" w:rsidRPr="00E80661">
        <w:t xml:space="preserve"> on the future of Europe</w:t>
      </w:r>
      <w:r w:rsidRPr="00E80661">
        <w:t xml:space="preserve"> underpinned by an integrated </w:t>
      </w:r>
      <w:r w:rsidR="00D63D06" w:rsidRPr="00E80661">
        <w:t xml:space="preserve">measure </w:t>
      </w:r>
      <w:r w:rsidRPr="00E80661">
        <w:t>in partnership with the EU institutions, local authorities, LRA associations, think tanks and civil society organi</w:t>
      </w:r>
      <w:r w:rsidR="00D63D06" w:rsidRPr="00E80661">
        <w:t>s</w:t>
      </w:r>
      <w:r w:rsidRPr="00E80661">
        <w:t xml:space="preserve">ations. </w:t>
      </w:r>
      <w:r w:rsidR="00A94C9E" w:rsidRPr="00E80661">
        <w:t>The process</w:t>
      </w:r>
      <w:r w:rsidR="008C2394" w:rsidRPr="00E80661">
        <w:t>, which has been</w:t>
      </w:r>
      <w:r w:rsidR="00A94C9E" w:rsidRPr="00E80661">
        <w:t xml:space="preserve"> initiated by a formal request of European Council President Donald Tusk</w:t>
      </w:r>
      <w:r w:rsidR="008C2394" w:rsidRPr="00E80661">
        <w:t>,</w:t>
      </w:r>
      <w:r w:rsidR="00A94C9E" w:rsidRPr="00E80661">
        <w:t xml:space="preserve"> will feed into an opinion to be adopted in 2018</w:t>
      </w:r>
      <w:r w:rsidR="00D63D06" w:rsidRPr="00E80661">
        <w:t>,</w:t>
      </w:r>
      <w:r w:rsidR="00A94C9E" w:rsidRPr="00E80661">
        <w:t xml:space="preserve"> well ahead of the European elections. </w:t>
      </w:r>
      <w:r w:rsidRPr="00E80661">
        <w:t xml:space="preserve">The implementation of this exercise is based on structured cooperation with all EU institutions, in particular </w:t>
      </w:r>
      <w:r w:rsidR="006C5E2B" w:rsidRPr="00E80661">
        <w:t>with their</w:t>
      </w:r>
      <w:r w:rsidRPr="00E80661">
        <w:t xml:space="preserve"> communication departments.</w:t>
      </w:r>
    </w:p>
    <w:p w14:paraId="5C55BBFD" w14:textId="77777777" w:rsidR="00A94C9E" w:rsidRPr="00E80661" w:rsidRDefault="00A94C9E" w:rsidP="00EB1DDC"/>
    <w:p w14:paraId="5C55BBFE" w14:textId="77777777" w:rsidR="00A94C9E" w:rsidRPr="00E80661" w:rsidRDefault="00A94C9E" w:rsidP="00EB1DDC">
      <w:pPr>
        <w:rPr>
          <w:i/>
        </w:rPr>
      </w:pPr>
      <w:r w:rsidRPr="00E80661">
        <w:rPr>
          <w:i/>
        </w:rPr>
        <w:t>Investment in Europe's future</w:t>
      </w:r>
    </w:p>
    <w:p w14:paraId="203FD06B" w14:textId="35073C28" w:rsidR="00D9653C" w:rsidRPr="00E80661" w:rsidRDefault="00D9653C" w:rsidP="00D9653C">
      <w:r w:rsidRPr="00E80661">
        <w:t xml:space="preserve">In response to the persistent "investment gap" affecting many of Europe's cities and regions and threatening their long-term competitiveness, investment in 2016 </w:t>
      </w:r>
      <w:r w:rsidR="00D63D06" w:rsidRPr="00E80661">
        <w:t xml:space="preserve">was </w:t>
      </w:r>
      <w:r w:rsidRPr="00E80661">
        <w:t>more than ever at the centre of the CoR's activities. This work took various form</w:t>
      </w:r>
      <w:r w:rsidR="00D63D06" w:rsidRPr="00E80661">
        <w:t>s</w:t>
      </w:r>
      <w:r w:rsidRPr="00E80661">
        <w:t xml:space="preserve"> throughout the year, ranging from conferences and reports on the topic to a CoR survey of local and regional authorities on obstacles to investment, </w:t>
      </w:r>
      <w:r w:rsidR="00D63D06" w:rsidRPr="00E80661">
        <w:t xml:space="preserve">as well as </w:t>
      </w:r>
      <w:r w:rsidRPr="00E80661">
        <w:t>an own</w:t>
      </w:r>
      <w:r w:rsidR="00D63D06" w:rsidRPr="00E80661">
        <w:t>-</w:t>
      </w:r>
      <w:r w:rsidRPr="00E80661">
        <w:t xml:space="preserve">initiative opinion on "Bridging the Investment Gap" </w:t>
      </w:r>
      <w:r w:rsidR="00D63D06" w:rsidRPr="00E80661">
        <w:t>produced</w:t>
      </w:r>
      <w:r w:rsidRPr="00E80661">
        <w:t xml:space="preserve"> by </w:t>
      </w:r>
      <w:r w:rsidR="00D63D06" w:rsidRPr="00E80661">
        <w:t xml:space="preserve">the CoR </w:t>
      </w:r>
      <w:r w:rsidRPr="00E80661">
        <w:t>President Markku Markkula. In addition, the CoR's Summit of Regions and Cities in Bratislava on 8-9 July 2016 was focused in part on investment and gave rise to the "Bratislava Declaration: Invest and Connect"</w:t>
      </w:r>
      <w:r w:rsidR="00D63D06" w:rsidRPr="00E80661">
        <w:t>,</w:t>
      </w:r>
      <w:r w:rsidRPr="00E80661">
        <w:t xml:space="preserve"> which was endorsed by the CoR Bureau. Following up on this Declaration, the Bratislava Action Plan was prepared to gather and bring synergies to the Committee's many initiatives on investment, both in-house and in cooperation </w:t>
      </w:r>
      <w:r w:rsidR="00D63D06" w:rsidRPr="00E80661">
        <w:t xml:space="preserve">with </w:t>
      </w:r>
      <w:r w:rsidRPr="00E80661">
        <w:t>all relevant partners including the European Commission and, notably, the European Investment Bank.</w:t>
      </w:r>
    </w:p>
    <w:p w14:paraId="5C55BC00" w14:textId="77777777" w:rsidR="00A94C9E" w:rsidRPr="00E80661" w:rsidRDefault="00A94C9E" w:rsidP="00EB1DDC"/>
    <w:p w14:paraId="0F69759E" w14:textId="77777777" w:rsidR="00D12A09" w:rsidRPr="00E80661" w:rsidRDefault="00D12A09" w:rsidP="00EB1DDC"/>
    <w:p w14:paraId="5C55BC01" w14:textId="77777777" w:rsidR="00A94C9E" w:rsidRPr="00E80661" w:rsidRDefault="00A94C9E" w:rsidP="00EB1DDC">
      <w:pPr>
        <w:rPr>
          <w:i/>
        </w:rPr>
      </w:pPr>
      <w:r w:rsidRPr="00E80661">
        <w:rPr>
          <w:i/>
        </w:rPr>
        <w:t>Reinforced cooperation with the European Parliament</w:t>
      </w:r>
    </w:p>
    <w:p w14:paraId="5C55BC02" w14:textId="778E09C1" w:rsidR="00EB1DDC" w:rsidRPr="00E80661" w:rsidRDefault="00EB1DDC" w:rsidP="00EB1DDC">
      <w:r w:rsidRPr="00E80661">
        <w:t xml:space="preserve">The </w:t>
      </w:r>
      <w:r w:rsidR="005D11C8" w:rsidRPr="00E80661">
        <w:t>cooperation with</w:t>
      </w:r>
      <w:r w:rsidRPr="00E80661">
        <w:t xml:space="preserve"> the EP has been systematically</w:t>
      </w:r>
      <w:r w:rsidR="005D11C8" w:rsidRPr="00E80661">
        <w:t xml:space="preserve"> upgraded since the signing of the Cooperation Agreement in 2014</w:t>
      </w:r>
      <w:r w:rsidRPr="00E80661">
        <w:t xml:space="preserve">. The CoR and the EP pursue effective bilateral cooperation </w:t>
      </w:r>
      <w:r w:rsidR="005D11C8" w:rsidRPr="00E80661">
        <w:t>on a set of selected priority files which are reviewed and update</w:t>
      </w:r>
      <w:r w:rsidR="000D6573" w:rsidRPr="00E80661">
        <w:t>d</w:t>
      </w:r>
      <w:r w:rsidR="005D11C8" w:rsidRPr="00E80661">
        <w:t xml:space="preserve"> every year. </w:t>
      </w:r>
      <w:r w:rsidRPr="00E80661">
        <w:t xml:space="preserve">As the quality of the relationship with the EP </w:t>
      </w:r>
      <w:r w:rsidR="005D11C8" w:rsidRPr="00E80661">
        <w:t xml:space="preserve">continues to </w:t>
      </w:r>
      <w:r w:rsidRPr="00E80661">
        <w:t xml:space="preserve">improve at all levels, it </w:t>
      </w:r>
      <w:r w:rsidR="00D63D06" w:rsidRPr="00E80661">
        <w:t xml:space="preserve">has </w:t>
      </w:r>
      <w:r w:rsidRPr="00E80661">
        <w:t xml:space="preserve">paved the way towards more structured forms of cooperation between </w:t>
      </w:r>
      <w:r w:rsidR="00A94C9E" w:rsidRPr="00E80661">
        <w:t xml:space="preserve">the rapporteurs of both institutions and </w:t>
      </w:r>
      <w:r w:rsidRPr="00E80661">
        <w:t xml:space="preserve">the CoR commissions and EP committees. Following some years of intensified cooperation and </w:t>
      </w:r>
      <w:r w:rsidR="001B7859" w:rsidRPr="00E80661">
        <w:t xml:space="preserve">annual </w:t>
      </w:r>
      <w:r w:rsidRPr="00E80661">
        <w:t xml:space="preserve">joint meetings between the CoR COTER and EP REGI, in 2016, for the first time, both institutions also held joint meetings between COTER and TRAN, as well as between NAT and AGRI. </w:t>
      </w:r>
    </w:p>
    <w:p w14:paraId="5C55BC03" w14:textId="77777777" w:rsidR="00650C8E" w:rsidRPr="00E80661" w:rsidRDefault="00650C8E" w:rsidP="00650C8E">
      <w:pPr>
        <w:rPr>
          <w:b/>
        </w:rPr>
      </w:pPr>
    </w:p>
    <w:p w14:paraId="5C55BC04" w14:textId="21585DBB" w:rsidR="00EB1DDC" w:rsidRPr="00E80661" w:rsidRDefault="009B49BC" w:rsidP="00650C8E">
      <w:r w:rsidRPr="00E80661">
        <w:t>Moreover</w:t>
      </w:r>
      <w:r w:rsidR="001B7859" w:rsidRPr="00E80661">
        <w:t>,</w:t>
      </w:r>
      <w:r w:rsidR="00650C8E" w:rsidRPr="00E80661">
        <w:t xml:space="preserve"> </w:t>
      </w:r>
      <w:r w:rsidRPr="00E80661">
        <w:t xml:space="preserve">following the </w:t>
      </w:r>
      <w:r w:rsidR="00650C8E" w:rsidRPr="00E80661">
        <w:t>EP</w:t>
      </w:r>
      <w:r w:rsidR="001B7859" w:rsidRPr="00E80661">
        <w:t>'s</w:t>
      </w:r>
      <w:r w:rsidR="00650C8E" w:rsidRPr="00E80661">
        <w:t xml:space="preserve"> </w:t>
      </w:r>
      <w:r w:rsidRPr="00E80661">
        <w:t xml:space="preserve">introduction of </w:t>
      </w:r>
      <w:r w:rsidR="001B7859" w:rsidRPr="00E80661">
        <w:t xml:space="preserve">the </w:t>
      </w:r>
      <w:r w:rsidR="007E4D44" w:rsidRPr="00E80661">
        <w:t>"</w:t>
      </w:r>
      <w:r w:rsidR="00650C8E" w:rsidRPr="00E80661">
        <w:t>implementation reports</w:t>
      </w:r>
      <w:r w:rsidR="007E4D44" w:rsidRPr="00E80661">
        <w:t>"</w:t>
      </w:r>
      <w:r w:rsidR="00650C8E" w:rsidRPr="00E80661">
        <w:t xml:space="preserve"> </w:t>
      </w:r>
      <w:r w:rsidR="00304DBF" w:rsidRPr="00E80661">
        <w:t>tool</w:t>
      </w:r>
      <w:r w:rsidR="0087610B" w:rsidRPr="00E80661">
        <w:t xml:space="preserve">, the </w:t>
      </w:r>
      <w:r w:rsidR="00650C8E" w:rsidRPr="00E80661">
        <w:t xml:space="preserve">CoR </w:t>
      </w:r>
      <w:r w:rsidR="0087610B" w:rsidRPr="00E80661">
        <w:t xml:space="preserve">is </w:t>
      </w:r>
      <w:r w:rsidR="001B7859" w:rsidRPr="00E80661">
        <w:t>asked</w:t>
      </w:r>
      <w:r w:rsidR="0087610B" w:rsidRPr="00E80661">
        <w:t xml:space="preserve"> </w:t>
      </w:r>
      <w:r w:rsidR="00650C8E" w:rsidRPr="00E80661">
        <w:t xml:space="preserve">to play a role in </w:t>
      </w:r>
      <w:r w:rsidR="00475630" w:rsidRPr="00E80661">
        <w:t>helping to</w:t>
      </w:r>
      <w:r w:rsidR="00650C8E" w:rsidRPr="00E80661">
        <w:t xml:space="preserve"> draft </w:t>
      </w:r>
      <w:r w:rsidR="00304DBF" w:rsidRPr="00E80661">
        <w:t xml:space="preserve">those </w:t>
      </w:r>
      <w:r w:rsidR="00650C8E" w:rsidRPr="00E80661">
        <w:t xml:space="preserve">EP reports and in </w:t>
      </w:r>
      <w:r w:rsidR="001B7859" w:rsidRPr="00E80661">
        <w:t xml:space="preserve">organising </w:t>
      </w:r>
      <w:r w:rsidR="00650C8E" w:rsidRPr="00E80661">
        <w:t xml:space="preserve">fact-finding missions. This </w:t>
      </w:r>
      <w:r w:rsidR="001B7859" w:rsidRPr="00E80661">
        <w:t xml:space="preserve">collaborative </w:t>
      </w:r>
      <w:r w:rsidR="00650C8E" w:rsidRPr="00E80661">
        <w:t xml:space="preserve">work and its combined analytical and political output </w:t>
      </w:r>
      <w:r w:rsidR="00304DBF" w:rsidRPr="00E80661">
        <w:t>will</w:t>
      </w:r>
      <w:r w:rsidR="00650C8E" w:rsidRPr="00E80661">
        <w:t xml:space="preserve"> therefore help </w:t>
      </w:r>
      <w:r w:rsidR="00304DBF" w:rsidRPr="00E80661">
        <w:t xml:space="preserve">to </w:t>
      </w:r>
      <w:r w:rsidR="00650C8E" w:rsidRPr="00E80661">
        <w:t xml:space="preserve">enhance the scrutiny of specific policy implementation with a view to </w:t>
      </w:r>
      <w:r w:rsidR="004E7D2B" w:rsidRPr="00E80661">
        <w:t xml:space="preserve">possibly </w:t>
      </w:r>
      <w:r w:rsidR="00650C8E" w:rsidRPr="00E80661">
        <w:t>revisi</w:t>
      </w:r>
      <w:r w:rsidR="004E7D2B" w:rsidRPr="00E80661">
        <w:t>ng</w:t>
      </w:r>
      <w:r w:rsidR="00650C8E" w:rsidRPr="00E80661">
        <w:t xml:space="preserve"> EU legislation. This cooperation </w:t>
      </w:r>
      <w:r w:rsidR="00304DBF" w:rsidRPr="00E80661">
        <w:t>will</w:t>
      </w:r>
      <w:r w:rsidR="00650C8E" w:rsidRPr="00E80661">
        <w:t xml:space="preserve"> also </w:t>
      </w:r>
      <w:r w:rsidR="001B7859" w:rsidRPr="00E80661">
        <w:t>help</w:t>
      </w:r>
      <w:r w:rsidR="00650C8E" w:rsidRPr="00E80661">
        <w:t xml:space="preserve"> rais</w:t>
      </w:r>
      <w:r w:rsidR="00304DBF" w:rsidRPr="00E80661">
        <w:t>e</w:t>
      </w:r>
      <w:r w:rsidR="00650C8E" w:rsidRPr="00E80661">
        <w:t xml:space="preserve"> the profile of the CoR's contribution to the EU policy-making process.</w:t>
      </w:r>
    </w:p>
    <w:p w14:paraId="5C55BC05" w14:textId="77777777" w:rsidR="00EB1DDC" w:rsidRPr="00E80661" w:rsidRDefault="00EB1DDC" w:rsidP="00EB1DDC"/>
    <w:p w14:paraId="5C55BC06" w14:textId="56109AC3" w:rsidR="00A94C9E" w:rsidRPr="00E80661" w:rsidRDefault="00A94C9E" w:rsidP="00EB1DDC">
      <w:pPr>
        <w:rPr>
          <w:i/>
        </w:rPr>
      </w:pPr>
      <w:r w:rsidRPr="00E80661">
        <w:rPr>
          <w:i/>
        </w:rPr>
        <w:t xml:space="preserve">More focused cooperation with </w:t>
      </w:r>
      <w:r w:rsidR="001B7859" w:rsidRPr="00E80661">
        <w:rPr>
          <w:i/>
        </w:rPr>
        <w:t xml:space="preserve">the </w:t>
      </w:r>
      <w:r w:rsidRPr="00E80661">
        <w:rPr>
          <w:i/>
        </w:rPr>
        <w:t>European Commission</w:t>
      </w:r>
    </w:p>
    <w:p w14:paraId="5C55BC07" w14:textId="609D9CAD" w:rsidR="00EB1DDC" w:rsidRPr="00E80661" w:rsidRDefault="00EB1DDC" w:rsidP="00EB1DDC">
      <w:r w:rsidRPr="00E80661">
        <w:t xml:space="preserve">Last year, the European Commission maintained its focus on </w:t>
      </w:r>
      <w:r w:rsidR="001B7859" w:rsidRPr="00E80661">
        <w:t>implementing</w:t>
      </w:r>
      <w:r w:rsidRPr="00E80661">
        <w:t xml:space="preserve"> </w:t>
      </w:r>
      <w:r w:rsidR="001B7859" w:rsidRPr="00E80661">
        <w:t>its</w:t>
      </w:r>
      <w:r w:rsidRPr="00E80661">
        <w:t xml:space="preserve"> 10 political priorities, delivering subsequent legislative proposals announced in its Annual Work Programme and continuing its work on the assessment and review of existing EU legislation </w:t>
      </w:r>
      <w:r w:rsidR="005D11C8" w:rsidRPr="00E80661">
        <w:t xml:space="preserve">as part of the REFIT exercise. The CoR remained an active partner within the </w:t>
      </w:r>
      <w:r w:rsidR="006C5E2B" w:rsidRPr="00E80661">
        <w:t xml:space="preserve">stakeholders group of the </w:t>
      </w:r>
      <w:r w:rsidR="005D11C8" w:rsidRPr="00E80661">
        <w:t>REFIT Platform, tabling two reports related to regional policy</w:t>
      </w:r>
      <w:r w:rsidR="001B7859" w:rsidRPr="00E80661">
        <w:t xml:space="preserve"> in 2016</w:t>
      </w:r>
      <w:r w:rsidR="005D11C8" w:rsidRPr="00E80661">
        <w:t>, for which the CoR has been appointed a lead rapporteur</w:t>
      </w:r>
      <w:r w:rsidR="00A94C9E" w:rsidRPr="00E80661">
        <w:t>.</w:t>
      </w:r>
      <w:r w:rsidRPr="00E80661">
        <w:t xml:space="preserve"> In view of the increased </w:t>
      </w:r>
      <w:r w:rsidR="005D11C8" w:rsidRPr="00E80661">
        <w:t xml:space="preserve">thematic </w:t>
      </w:r>
      <w:r w:rsidRPr="00E80661">
        <w:t>cooperation</w:t>
      </w:r>
      <w:r w:rsidR="005D11C8" w:rsidRPr="00E80661">
        <w:t xml:space="preserve"> </w:t>
      </w:r>
      <w:r w:rsidRPr="00E80661">
        <w:t>the CoR has also undertaken efforts to consolidate its relations with the EC Secretariat</w:t>
      </w:r>
      <w:r w:rsidR="00850BBA" w:rsidRPr="00E80661">
        <w:t>-</w:t>
      </w:r>
      <w:r w:rsidRPr="00E80661">
        <w:t>General</w:t>
      </w:r>
      <w:r w:rsidR="00555F20" w:rsidRPr="00E80661">
        <w:t xml:space="preserve"> at administrative level </w:t>
      </w:r>
      <w:r w:rsidR="00850BBA" w:rsidRPr="00E80661">
        <w:t>as part</w:t>
      </w:r>
      <w:r w:rsidR="00555F20" w:rsidRPr="00E80661">
        <w:t xml:space="preserve"> of Cooperation Agreement between both institutions</w:t>
      </w:r>
      <w:r w:rsidRPr="00E80661">
        <w:t>.</w:t>
      </w:r>
    </w:p>
    <w:p w14:paraId="5C55BC08" w14:textId="77777777" w:rsidR="00EB1DDC" w:rsidRPr="00E80661" w:rsidRDefault="00EB1DDC" w:rsidP="00EB1DDC">
      <w:r w:rsidRPr="00E80661">
        <w:t xml:space="preserve"> </w:t>
      </w:r>
    </w:p>
    <w:p w14:paraId="5C55BC09" w14:textId="77777777" w:rsidR="00A94C9E" w:rsidRPr="00E80661" w:rsidRDefault="00A94C9E" w:rsidP="00EB1DDC">
      <w:pPr>
        <w:rPr>
          <w:i/>
        </w:rPr>
      </w:pPr>
      <w:r w:rsidRPr="00E80661">
        <w:rPr>
          <w:i/>
        </w:rPr>
        <w:t>More targeted cooperation with the Council</w:t>
      </w:r>
    </w:p>
    <w:p w14:paraId="5C55BC0A" w14:textId="18ED31F4" w:rsidR="00EB1DDC" w:rsidRPr="00E80661" w:rsidRDefault="00EB1DDC" w:rsidP="00EB1DDC">
      <w:pPr>
        <w:rPr>
          <w:bCs/>
        </w:rPr>
      </w:pPr>
      <w:r w:rsidRPr="00E80661">
        <w:rPr>
          <w:bCs/>
        </w:rPr>
        <w:t xml:space="preserve">The </w:t>
      </w:r>
      <w:r w:rsidR="00850BBA" w:rsidRPr="00E80661">
        <w:rPr>
          <w:bCs/>
        </w:rPr>
        <w:t xml:space="preserve">need </w:t>
      </w:r>
      <w:r w:rsidRPr="00E80661">
        <w:rPr>
          <w:bCs/>
        </w:rPr>
        <w:t xml:space="preserve">for better regulation offers good grounds for developing and strengthening ties with the Council and </w:t>
      </w:r>
      <w:r w:rsidR="007A086B" w:rsidRPr="00E80661">
        <w:rPr>
          <w:bCs/>
        </w:rPr>
        <w:t xml:space="preserve">its rotating </w:t>
      </w:r>
      <w:r w:rsidRPr="00E80661">
        <w:rPr>
          <w:bCs/>
        </w:rPr>
        <w:t>presidencies</w:t>
      </w:r>
      <w:r w:rsidR="00850BBA" w:rsidRPr="00E80661">
        <w:rPr>
          <w:bCs/>
        </w:rPr>
        <w:t>,</w:t>
      </w:r>
      <w:r w:rsidRPr="00E80661">
        <w:rPr>
          <w:bCs/>
        </w:rPr>
        <w:t xml:space="preserve"> and provides </w:t>
      </w:r>
      <w:r w:rsidR="007A086B" w:rsidRPr="00E80661">
        <w:rPr>
          <w:bCs/>
        </w:rPr>
        <w:t xml:space="preserve">for </w:t>
      </w:r>
      <w:r w:rsidRPr="00E80661">
        <w:rPr>
          <w:bCs/>
        </w:rPr>
        <w:t xml:space="preserve">more transparency </w:t>
      </w:r>
      <w:r w:rsidR="00850BBA" w:rsidRPr="00E80661">
        <w:rPr>
          <w:bCs/>
        </w:rPr>
        <w:t>throughout</w:t>
      </w:r>
      <w:r w:rsidRPr="00E80661">
        <w:rPr>
          <w:bCs/>
        </w:rPr>
        <w:t xml:space="preserve"> the EU decision-making process. The CoR's strategy is continuously steered towards more opportunities for effective </w:t>
      </w:r>
      <w:r w:rsidR="006C5E2B" w:rsidRPr="00E80661">
        <w:rPr>
          <w:bCs/>
        </w:rPr>
        <w:t xml:space="preserve">and </w:t>
      </w:r>
      <w:r w:rsidRPr="00E80661">
        <w:rPr>
          <w:bCs/>
        </w:rPr>
        <w:t xml:space="preserve">active involvement in the EU </w:t>
      </w:r>
      <w:r w:rsidR="007715D1" w:rsidRPr="00E80661">
        <w:rPr>
          <w:bCs/>
        </w:rPr>
        <w:t>P</w:t>
      </w:r>
      <w:r w:rsidRPr="00E80661">
        <w:rPr>
          <w:bCs/>
        </w:rPr>
        <w:t>residency</w:t>
      </w:r>
      <w:r w:rsidR="00850BBA" w:rsidRPr="00E80661">
        <w:rPr>
          <w:bCs/>
        </w:rPr>
        <w:t xml:space="preserve"> Trio</w:t>
      </w:r>
      <w:r w:rsidR="007715D1" w:rsidRPr="00E80661">
        <w:rPr>
          <w:bCs/>
        </w:rPr>
        <w:t>'s</w:t>
      </w:r>
      <w:r w:rsidRPr="00E80661">
        <w:rPr>
          <w:bCs/>
        </w:rPr>
        <w:t xml:space="preserve"> activities and the design of their future programmes</w:t>
      </w:r>
      <w:r w:rsidR="00850BBA" w:rsidRPr="00E80661">
        <w:rPr>
          <w:bCs/>
        </w:rPr>
        <w:t>,</w:t>
      </w:r>
      <w:r w:rsidRPr="00E80661">
        <w:rPr>
          <w:bCs/>
        </w:rPr>
        <w:t xml:space="preserve"> as well as the opportunity to </w:t>
      </w:r>
      <w:r w:rsidR="00850BBA" w:rsidRPr="00E80661">
        <w:rPr>
          <w:bCs/>
        </w:rPr>
        <w:t xml:space="preserve">put forward </w:t>
      </w:r>
      <w:r w:rsidRPr="00E80661">
        <w:rPr>
          <w:bCs/>
        </w:rPr>
        <w:t xml:space="preserve">CoR requests at </w:t>
      </w:r>
      <w:r w:rsidR="007A086B" w:rsidRPr="00E80661">
        <w:rPr>
          <w:bCs/>
        </w:rPr>
        <w:t xml:space="preserve">Presidency events, </w:t>
      </w:r>
      <w:r w:rsidRPr="00E80661">
        <w:rPr>
          <w:bCs/>
        </w:rPr>
        <w:t xml:space="preserve">Council </w:t>
      </w:r>
      <w:r w:rsidR="000F4AB8" w:rsidRPr="00E80661">
        <w:rPr>
          <w:bCs/>
        </w:rPr>
        <w:t>w</w:t>
      </w:r>
      <w:r w:rsidRPr="00E80661">
        <w:rPr>
          <w:bCs/>
        </w:rPr>
        <w:t xml:space="preserve">orking </w:t>
      </w:r>
      <w:r w:rsidR="000F4AB8" w:rsidRPr="00E80661">
        <w:rPr>
          <w:bCs/>
        </w:rPr>
        <w:t>p</w:t>
      </w:r>
      <w:r w:rsidRPr="00E80661">
        <w:rPr>
          <w:bCs/>
        </w:rPr>
        <w:t>arties</w:t>
      </w:r>
      <w:r w:rsidR="007A086B" w:rsidRPr="00E80661">
        <w:rPr>
          <w:bCs/>
        </w:rPr>
        <w:t xml:space="preserve"> and </w:t>
      </w:r>
      <w:r w:rsidR="00850BBA" w:rsidRPr="00E80661">
        <w:rPr>
          <w:bCs/>
        </w:rPr>
        <w:t>i</w:t>
      </w:r>
      <w:r w:rsidR="007A086B" w:rsidRPr="00E80661">
        <w:rPr>
          <w:bCs/>
        </w:rPr>
        <w:t>nformal Council meetings</w:t>
      </w:r>
      <w:r w:rsidR="00850BBA" w:rsidRPr="00E80661">
        <w:rPr>
          <w:bCs/>
        </w:rPr>
        <w:t xml:space="preserve">. </w:t>
      </w:r>
      <w:r w:rsidR="009006B2" w:rsidRPr="00E80661">
        <w:rPr>
          <w:bCs/>
        </w:rPr>
        <w:t xml:space="preserve">A good example </w:t>
      </w:r>
      <w:r w:rsidR="00850BBA" w:rsidRPr="00E80661">
        <w:rPr>
          <w:bCs/>
        </w:rPr>
        <w:t xml:space="preserve">of this </w:t>
      </w:r>
      <w:r w:rsidR="000F4AB8" w:rsidRPr="00E80661">
        <w:rPr>
          <w:bCs/>
        </w:rPr>
        <w:t xml:space="preserve">is </w:t>
      </w:r>
      <w:r w:rsidR="009006B2" w:rsidRPr="00E80661">
        <w:rPr>
          <w:bCs/>
        </w:rPr>
        <w:t>the possibility Bart Somers</w:t>
      </w:r>
      <w:r w:rsidR="00056EA3" w:rsidRPr="00E80661">
        <w:rPr>
          <w:bCs/>
        </w:rPr>
        <w:t xml:space="preserve"> (BE/ALDE)</w:t>
      </w:r>
      <w:r w:rsidR="009006B2" w:rsidRPr="00E80661">
        <w:rPr>
          <w:bCs/>
        </w:rPr>
        <w:t xml:space="preserve"> </w:t>
      </w:r>
      <w:r w:rsidR="00850BBA" w:rsidRPr="00E80661">
        <w:rPr>
          <w:bCs/>
        </w:rPr>
        <w:t xml:space="preserve">had </w:t>
      </w:r>
      <w:r w:rsidR="009006B2" w:rsidRPr="00E80661">
        <w:rPr>
          <w:bCs/>
        </w:rPr>
        <w:t>in his capacity as rapporteur for the CoR own</w:t>
      </w:r>
      <w:r w:rsidR="00850BBA" w:rsidRPr="00E80661">
        <w:rPr>
          <w:bCs/>
        </w:rPr>
        <w:t>-</w:t>
      </w:r>
      <w:r w:rsidR="009006B2" w:rsidRPr="00E80661">
        <w:rPr>
          <w:bCs/>
        </w:rPr>
        <w:t xml:space="preserve">initiative opinion on </w:t>
      </w:r>
      <w:r w:rsidR="009006B2" w:rsidRPr="00E80661">
        <w:rPr>
          <w:b/>
          <w:bCs/>
        </w:rPr>
        <w:t>Combatting radicalisation and violent extremism: prevention mechanisms at local and regional level</w:t>
      </w:r>
      <w:r w:rsidR="009006B2" w:rsidRPr="00E80661">
        <w:rPr>
          <w:bCs/>
        </w:rPr>
        <w:t xml:space="preserve"> to address an informal Council meeting session on 23 August in Bratislava dedicated to Radicalisation on the rise in Europe.</w:t>
      </w:r>
    </w:p>
    <w:p w14:paraId="5C55BC0B" w14:textId="77777777" w:rsidR="007A086B" w:rsidRPr="00E80661" w:rsidRDefault="007A086B" w:rsidP="00EB1DDC">
      <w:pPr>
        <w:rPr>
          <w:bCs/>
        </w:rPr>
      </w:pPr>
    </w:p>
    <w:p w14:paraId="5C55BC0C" w14:textId="3913E52F" w:rsidR="003C6BF6" w:rsidRPr="00E80661" w:rsidRDefault="003C6BF6" w:rsidP="003C6BF6">
      <w:r w:rsidRPr="00E80661">
        <w:t xml:space="preserve">Cooperation initiatives with the Council secretariat on thematic priority </w:t>
      </w:r>
      <w:r w:rsidR="00DC57DF" w:rsidRPr="00E80661">
        <w:t xml:space="preserve">issues </w:t>
      </w:r>
      <w:r w:rsidRPr="00E80661">
        <w:t xml:space="preserve">of the CoR </w:t>
      </w:r>
      <w:r w:rsidR="00304DBF" w:rsidRPr="00E80661">
        <w:t>c</w:t>
      </w:r>
      <w:r w:rsidRPr="00E80661">
        <w:t xml:space="preserve">ommissions are </w:t>
      </w:r>
      <w:r w:rsidR="00DC57DF" w:rsidRPr="00E80661">
        <w:t xml:space="preserve">also </w:t>
      </w:r>
      <w:r w:rsidRPr="00E80661">
        <w:t xml:space="preserve">being </w:t>
      </w:r>
      <w:r w:rsidR="00E80661" w:rsidRPr="00E80661">
        <w:t>developed. The</w:t>
      </w:r>
      <w:r w:rsidR="007715D1" w:rsidRPr="00E80661">
        <w:t xml:space="preserve"> </w:t>
      </w:r>
      <w:r w:rsidRPr="00E80661">
        <w:t>CoR opinions</w:t>
      </w:r>
      <w:r w:rsidR="00304DBF" w:rsidRPr="00E80661">
        <w:t>, as well as other relevant CoR documents (studies, consultation reports, impact assessments</w:t>
      </w:r>
      <w:r w:rsidR="00DC57DF" w:rsidRPr="00E80661">
        <w:t>,</w:t>
      </w:r>
      <w:r w:rsidR="00304DBF" w:rsidRPr="00E80661">
        <w:t xml:space="preserve"> etc.), are</w:t>
      </w:r>
      <w:r w:rsidRPr="00E80661">
        <w:t xml:space="preserve"> presented </w:t>
      </w:r>
      <w:r w:rsidR="000F4AB8" w:rsidRPr="00E80661">
        <w:t xml:space="preserve">within </w:t>
      </w:r>
      <w:r w:rsidR="00E80661">
        <w:t xml:space="preserve">the </w:t>
      </w:r>
      <w:r w:rsidR="000F4AB8" w:rsidRPr="00E80661">
        <w:t xml:space="preserve">relevant Council </w:t>
      </w:r>
      <w:r w:rsidRPr="00E80661">
        <w:t>working partie</w:t>
      </w:r>
      <w:r w:rsidR="000F4AB8" w:rsidRPr="00E80661">
        <w:t>s</w:t>
      </w:r>
      <w:r w:rsidRPr="00E80661">
        <w:t xml:space="preserve">. </w:t>
      </w:r>
      <w:r w:rsidR="007715D1" w:rsidRPr="00E80661">
        <w:t xml:space="preserve">The CoR has </w:t>
      </w:r>
      <w:r w:rsidR="005D11C8" w:rsidRPr="00E80661">
        <w:t>also</w:t>
      </w:r>
      <w:r w:rsidR="007715D1" w:rsidRPr="00E80661">
        <w:t xml:space="preserve"> </w:t>
      </w:r>
      <w:r w:rsidR="000F4AB8" w:rsidRPr="00E80661">
        <w:t>successfully</w:t>
      </w:r>
      <w:r w:rsidR="00304DBF" w:rsidRPr="00E80661">
        <w:t xml:space="preserve"> formalise</w:t>
      </w:r>
      <w:r w:rsidR="000F4AB8" w:rsidRPr="00E80661">
        <w:t>d</w:t>
      </w:r>
      <w:r w:rsidR="00304DBF" w:rsidRPr="00E80661">
        <w:t xml:space="preserve"> </w:t>
      </w:r>
      <w:r w:rsidR="000F4AB8" w:rsidRPr="00E80661">
        <w:t xml:space="preserve">its </w:t>
      </w:r>
      <w:r w:rsidR="007715D1" w:rsidRPr="00E80661">
        <w:t xml:space="preserve">access to the Council's </w:t>
      </w:r>
      <w:r w:rsidR="000F4AB8" w:rsidRPr="00E80661">
        <w:t xml:space="preserve">internal </w:t>
      </w:r>
      <w:r w:rsidR="007715D1" w:rsidRPr="00E80661">
        <w:t>planning documents.</w:t>
      </w:r>
      <w:r w:rsidR="00056EA3" w:rsidRPr="00E80661">
        <w:t xml:space="preserve"> A good example </w:t>
      </w:r>
      <w:r w:rsidR="000F4AB8" w:rsidRPr="00E80661">
        <w:t xml:space="preserve">of this is </w:t>
      </w:r>
      <w:r w:rsidR="00056EA3" w:rsidRPr="00E80661">
        <w:t>the possibility given by the Maltese presidency to</w:t>
      </w:r>
      <w:r w:rsidR="000F4AB8" w:rsidRPr="00E80661">
        <w:t xml:space="preserve"> Michiel Rijsberman (NL/ALDE),</w:t>
      </w:r>
      <w:r w:rsidR="00056EA3" w:rsidRPr="00E80661">
        <w:t xml:space="preserve"> CoR rapporteur </w:t>
      </w:r>
      <w:r w:rsidR="000F4AB8" w:rsidRPr="00E80661">
        <w:t xml:space="preserve">working on </w:t>
      </w:r>
      <w:r w:rsidR="00056EA3" w:rsidRPr="00E80661">
        <w:t>the directives on energy efficiency and energy performance of buildings</w:t>
      </w:r>
      <w:r w:rsidR="000F4AB8" w:rsidRPr="00E80661">
        <w:t>,</w:t>
      </w:r>
      <w:r w:rsidR="00056EA3" w:rsidRPr="00E80661">
        <w:t xml:space="preserve"> to draft a letter outlining the key points of the CoR opinion</w:t>
      </w:r>
      <w:r w:rsidR="000F4AB8" w:rsidRPr="00E80661">
        <w:t xml:space="preserve">, which </w:t>
      </w:r>
      <w:r w:rsidR="00056EA3" w:rsidRPr="00E80661">
        <w:t xml:space="preserve">the presidency circulated to the members of the relevant working group. </w:t>
      </w:r>
    </w:p>
    <w:p w14:paraId="5C55BC0D" w14:textId="76BD173D" w:rsidR="00684760" w:rsidRPr="00E80661" w:rsidRDefault="00684760">
      <w:pPr>
        <w:overflowPunct/>
        <w:autoSpaceDE/>
        <w:autoSpaceDN/>
        <w:adjustRightInd/>
        <w:spacing w:line="240" w:lineRule="auto"/>
        <w:jc w:val="left"/>
        <w:textAlignment w:val="auto"/>
      </w:pPr>
      <w:r w:rsidRPr="00E80661">
        <w:br w:type="page"/>
      </w:r>
    </w:p>
    <w:p w14:paraId="5C55BC11" w14:textId="2FF56502" w:rsidR="00E30AD8" w:rsidRPr="00E80661" w:rsidRDefault="00E30AD8" w:rsidP="00644601">
      <w:pPr>
        <w:pStyle w:val="Heading1"/>
        <w:numPr>
          <w:ilvl w:val="0"/>
          <w:numId w:val="0"/>
        </w:numPr>
        <w:rPr>
          <w:b/>
          <w:u w:val="single"/>
        </w:rPr>
      </w:pPr>
      <w:bookmarkStart w:id="3" w:name="_Toc486243269"/>
      <w:bookmarkStart w:id="4" w:name="_Toc485373821"/>
      <w:r w:rsidRPr="00E80661">
        <w:rPr>
          <w:b/>
          <w:u w:val="single"/>
        </w:rPr>
        <w:t>Analysis of the impact of CoR opinions in major fields of political activity</w:t>
      </w:r>
      <w:bookmarkEnd w:id="3"/>
      <w:bookmarkEnd w:id="4"/>
    </w:p>
    <w:p w14:paraId="5C55BC12" w14:textId="77777777" w:rsidR="007E66EC" w:rsidRPr="00E80661" w:rsidRDefault="007E66EC" w:rsidP="005B2CFF">
      <w:pPr>
        <w:rPr>
          <w:szCs w:val="22"/>
        </w:rPr>
      </w:pPr>
    </w:p>
    <w:p w14:paraId="5C55BC13" w14:textId="77777777" w:rsidR="00383150" w:rsidRPr="00E80661" w:rsidRDefault="00F26391">
      <w:pPr>
        <w:pStyle w:val="Heading1"/>
        <w:rPr>
          <w:b/>
          <w:szCs w:val="22"/>
        </w:rPr>
      </w:pPr>
      <w:bookmarkStart w:id="5" w:name="_Toc418860742"/>
      <w:r w:rsidRPr="00E80661">
        <w:rPr>
          <w:b/>
          <w:szCs w:val="22"/>
        </w:rPr>
        <w:t xml:space="preserve"> </w:t>
      </w:r>
      <w:bookmarkStart w:id="6" w:name="_Toc486243270"/>
      <w:bookmarkStart w:id="7" w:name="_Toc485373822"/>
      <w:r w:rsidR="00B75817" w:rsidRPr="00E80661">
        <w:rPr>
          <w:b/>
          <w:szCs w:val="22"/>
        </w:rPr>
        <w:t>Economic and m</w:t>
      </w:r>
      <w:r w:rsidR="00383150" w:rsidRPr="00E80661">
        <w:rPr>
          <w:b/>
          <w:szCs w:val="22"/>
        </w:rPr>
        <w:t xml:space="preserve">onetary </w:t>
      </w:r>
      <w:bookmarkEnd w:id="5"/>
      <w:r w:rsidR="00B75817" w:rsidRPr="00E80661">
        <w:rPr>
          <w:b/>
          <w:szCs w:val="22"/>
        </w:rPr>
        <w:t>policy</w:t>
      </w:r>
      <w:bookmarkEnd w:id="6"/>
      <w:bookmarkEnd w:id="7"/>
    </w:p>
    <w:p w14:paraId="5C55BC14" w14:textId="77777777" w:rsidR="0067740D" w:rsidRPr="00E80661" w:rsidRDefault="0067740D" w:rsidP="0067740D"/>
    <w:p w14:paraId="5C55BC15" w14:textId="77777777" w:rsidR="0067740D" w:rsidRPr="00E80661" w:rsidRDefault="0067740D" w:rsidP="0067740D">
      <w:pPr>
        <w:pStyle w:val="Heading2"/>
        <w:rPr>
          <w:szCs w:val="22"/>
        </w:rPr>
      </w:pPr>
      <w:bookmarkStart w:id="8" w:name="_Toc486243271"/>
      <w:bookmarkStart w:id="9" w:name="_Toc485373823"/>
      <w:r w:rsidRPr="00E80661">
        <w:rPr>
          <w:b/>
          <w:szCs w:val="22"/>
        </w:rPr>
        <w:t>Economic governance, European Semester and Economic and Monetary Union</w:t>
      </w:r>
      <w:bookmarkEnd w:id="8"/>
      <w:bookmarkEnd w:id="9"/>
      <w:r w:rsidRPr="00E80661">
        <w:rPr>
          <w:szCs w:val="22"/>
        </w:rPr>
        <w:t xml:space="preserve"> </w:t>
      </w:r>
    </w:p>
    <w:p w14:paraId="5C55BC16" w14:textId="77777777" w:rsidR="0067740D" w:rsidRPr="00E80661" w:rsidRDefault="0067740D" w:rsidP="0067740D"/>
    <w:p w14:paraId="5C55BC17" w14:textId="6040DC0A" w:rsidR="0067740D" w:rsidRPr="00E80661" w:rsidRDefault="0067740D" w:rsidP="0067740D">
      <w:pPr>
        <w:rPr>
          <w:color w:val="000000"/>
        </w:rPr>
      </w:pPr>
      <w:r w:rsidRPr="00E80661">
        <w:rPr>
          <w:color w:val="000000"/>
        </w:rPr>
        <w:t xml:space="preserve">The CoR received approval and support for its work on promoting the involvement of local and regional authorities in </w:t>
      </w:r>
      <w:r w:rsidR="000F4AB8" w:rsidRPr="00E80661">
        <w:rPr>
          <w:color w:val="000000"/>
        </w:rPr>
        <w:t>implementing</w:t>
      </w:r>
      <w:r w:rsidRPr="00E80661">
        <w:rPr>
          <w:color w:val="000000"/>
        </w:rPr>
        <w:t xml:space="preserve"> the </w:t>
      </w:r>
      <w:r w:rsidRPr="00E80661">
        <w:rPr>
          <w:b/>
          <w:bCs/>
          <w:color w:val="000000"/>
        </w:rPr>
        <w:t xml:space="preserve">Country-Specific Recommendations </w:t>
      </w:r>
      <w:r w:rsidRPr="00E80661">
        <w:rPr>
          <w:bCs/>
          <w:color w:val="000000"/>
        </w:rPr>
        <w:t>(CSRs)</w:t>
      </w:r>
      <w:r w:rsidRPr="00E80661">
        <w:rPr>
          <w:color w:val="000000"/>
        </w:rPr>
        <w:t xml:space="preserve"> </w:t>
      </w:r>
      <w:r w:rsidR="0033768D">
        <w:rPr>
          <w:color w:val="000000"/>
        </w:rPr>
        <w:t>from</w:t>
      </w:r>
      <w:r w:rsidR="0033768D" w:rsidRPr="00E80661">
        <w:rPr>
          <w:color w:val="000000"/>
        </w:rPr>
        <w:t xml:space="preserve"> </w:t>
      </w:r>
      <w:r w:rsidRPr="00E80661">
        <w:rPr>
          <w:color w:val="000000"/>
        </w:rPr>
        <w:t xml:space="preserve">former EP President </w:t>
      </w:r>
      <w:r w:rsidR="000F4AB8" w:rsidRPr="00E80661">
        <w:rPr>
          <w:color w:val="000000"/>
        </w:rPr>
        <w:t xml:space="preserve">Martin </w:t>
      </w:r>
      <w:r w:rsidRPr="00E80661">
        <w:rPr>
          <w:color w:val="000000"/>
        </w:rPr>
        <w:t xml:space="preserve">Schulz, in his letter of 12 January 2017. On 30 January 2017, Paul Lindquist, CoR member and member of the Steering Committee of the Europe 2020 Monitoring Platform, took the floor </w:t>
      </w:r>
      <w:r w:rsidR="001E458F" w:rsidRPr="00E80661">
        <w:rPr>
          <w:color w:val="000000"/>
        </w:rPr>
        <w:t>o</w:t>
      </w:r>
      <w:r w:rsidRPr="00E80661">
        <w:rPr>
          <w:color w:val="000000"/>
        </w:rPr>
        <w:t>n the first day of the Interparliamentary Week on the European Semester organi</w:t>
      </w:r>
      <w:r w:rsidR="001E458F" w:rsidRPr="00E80661">
        <w:rPr>
          <w:color w:val="000000"/>
        </w:rPr>
        <w:t>s</w:t>
      </w:r>
      <w:r w:rsidRPr="00E80661">
        <w:rPr>
          <w:color w:val="000000"/>
        </w:rPr>
        <w:t xml:space="preserve">ed by the EP. </w:t>
      </w:r>
    </w:p>
    <w:p w14:paraId="5C55BC18" w14:textId="77777777" w:rsidR="0067740D" w:rsidRPr="00E80661" w:rsidRDefault="0067740D" w:rsidP="0067740D">
      <w:pPr>
        <w:rPr>
          <w:color w:val="000000"/>
        </w:rPr>
      </w:pPr>
    </w:p>
    <w:p w14:paraId="5C55BC19" w14:textId="2E7E8F9B" w:rsidR="0067740D" w:rsidRPr="00E80661" w:rsidRDefault="00E80661" w:rsidP="0067740D">
      <w:pPr>
        <w:rPr>
          <w:color w:val="000000"/>
        </w:rPr>
      </w:pPr>
      <w:r w:rsidRPr="00E80661">
        <w:rPr>
          <w:color w:val="000000"/>
        </w:rPr>
        <w:t>In May 2017, for the third consecutive year, the In-Depth Analysis</w:t>
      </w:r>
      <w:r w:rsidRPr="00644601">
        <w:rPr>
          <w:rStyle w:val="FootnoteReference"/>
          <w:color w:val="000000"/>
        </w:rPr>
        <w:footnoteReference w:id="6"/>
      </w:r>
      <w:r w:rsidRPr="00E80661">
        <w:rPr>
          <w:color w:val="000000"/>
        </w:rPr>
        <w:t xml:space="preserve"> provided by the EP services to MEPs in view of the Economic Dialogue with the European Commission on the European Semester (scheduled at the EP ECON meeting on 30 May 2017), reported (in a specific section) on the CoR's analysis of the Country-specific Recommendations (CSRs), and their state of implementation, from a territorial perspective. </w:t>
      </w:r>
      <w:r w:rsidR="0067740D" w:rsidRPr="00E80661">
        <w:rPr>
          <w:color w:val="000000"/>
        </w:rPr>
        <w:t xml:space="preserve">Such analysis aims at identifying those CSRs that are territory-related and where the local and regional authorities play a role; every year, they feed into the CoR Resolutions on the implementation of the current European Semester (in October) and on the new Annual Growth Survey (in February). The CoR is the only external organisation, other than the Commission, mentioned in this in depth </w:t>
      </w:r>
      <w:r w:rsidR="007400F5" w:rsidRPr="00E80661">
        <w:rPr>
          <w:color w:val="000000"/>
        </w:rPr>
        <w:t xml:space="preserve">EP </w:t>
      </w:r>
      <w:r w:rsidR="0067740D" w:rsidRPr="00E80661">
        <w:rPr>
          <w:color w:val="000000"/>
        </w:rPr>
        <w:t xml:space="preserve">briefing. </w:t>
      </w:r>
    </w:p>
    <w:p w14:paraId="5C55BC1A" w14:textId="77777777" w:rsidR="0067740D" w:rsidRPr="00E80661" w:rsidRDefault="0067740D" w:rsidP="0067740D">
      <w:pPr>
        <w:rPr>
          <w:color w:val="000000"/>
        </w:rPr>
      </w:pPr>
    </w:p>
    <w:p w14:paraId="5C55BC1B" w14:textId="67E27F5A" w:rsidR="0067740D" w:rsidRPr="00E80661" w:rsidRDefault="0067740D" w:rsidP="0067740D">
      <w:pPr>
        <w:rPr>
          <w:color w:val="000000"/>
        </w:rPr>
      </w:pPr>
      <w:r w:rsidRPr="00E80661">
        <w:rPr>
          <w:color w:val="000000"/>
        </w:rPr>
        <w:t xml:space="preserve">During the preparation of the opinion on </w:t>
      </w:r>
      <w:r w:rsidRPr="00E80661">
        <w:rPr>
          <w:b/>
          <w:bCs/>
          <w:iCs/>
          <w:color w:val="000000"/>
        </w:rPr>
        <w:t xml:space="preserve">Improving the </w:t>
      </w:r>
      <w:r w:rsidR="007400F5" w:rsidRPr="00E80661">
        <w:rPr>
          <w:b/>
          <w:bCs/>
          <w:iCs/>
          <w:color w:val="000000"/>
        </w:rPr>
        <w:t xml:space="preserve">governance of the </w:t>
      </w:r>
      <w:r w:rsidRPr="00E80661">
        <w:rPr>
          <w:b/>
          <w:bCs/>
          <w:iCs/>
          <w:color w:val="000000"/>
        </w:rPr>
        <w:t xml:space="preserve">European Semester: a </w:t>
      </w:r>
      <w:r w:rsidR="007400F5" w:rsidRPr="00E80661">
        <w:rPr>
          <w:b/>
          <w:bCs/>
          <w:iCs/>
          <w:color w:val="000000"/>
        </w:rPr>
        <w:t>C</w:t>
      </w:r>
      <w:r w:rsidRPr="00E80661">
        <w:rPr>
          <w:b/>
          <w:bCs/>
          <w:iCs/>
          <w:color w:val="000000"/>
        </w:rPr>
        <w:t xml:space="preserve">ode of </w:t>
      </w:r>
      <w:r w:rsidR="007400F5" w:rsidRPr="00E80661">
        <w:rPr>
          <w:b/>
          <w:bCs/>
          <w:iCs/>
          <w:color w:val="000000"/>
        </w:rPr>
        <w:t>C</w:t>
      </w:r>
      <w:r w:rsidRPr="00E80661">
        <w:rPr>
          <w:b/>
          <w:bCs/>
          <w:iCs/>
          <w:color w:val="000000"/>
        </w:rPr>
        <w:t xml:space="preserve">onduct </w:t>
      </w:r>
      <w:r w:rsidR="007400F5" w:rsidRPr="00E80661">
        <w:rPr>
          <w:b/>
          <w:bCs/>
          <w:iCs/>
          <w:color w:val="000000"/>
        </w:rPr>
        <w:t>for</w:t>
      </w:r>
      <w:r w:rsidRPr="00E80661">
        <w:rPr>
          <w:b/>
          <w:bCs/>
          <w:iCs/>
          <w:color w:val="000000"/>
        </w:rPr>
        <w:t xml:space="preserve"> the involvement of local and regional authorities</w:t>
      </w:r>
      <w:r w:rsidRPr="00644601">
        <w:rPr>
          <w:rStyle w:val="FootnoteReference"/>
          <w:b/>
          <w:color w:val="000000"/>
        </w:rPr>
        <w:footnoteReference w:id="7"/>
      </w:r>
      <w:r w:rsidRPr="00E80661">
        <w:rPr>
          <w:color w:val="000000"/>
        </w:rPr>
        <w:t xml:space="preserve">, the CoR received </w:t>
      </w:r>
      <w:r w:rsidR="002479C4" w:rsidRPr="00E80661">
        <w:rPr>
          <w:color w:val="000000"/>
        </w:rPr>
        <w:t xml:space="preserve">an </w:t>
      </w:r>
      <w:r w:rsidRPr="00E80661">
        <w:rPr>
          <w:color w:val="000000"/>
        </w:rPr>
        <w:t>explicit endorsement from the EP in its Resolution on the 2016 European Semester (adopted on 26 October 2016, rapporteur Alfred Sant, MT</w:t>
      </w:r>
      <w:r w:rsidR="002479C4" w:rsidRPr="00E80661">
        <w:rPr>
          <w:color w:val="000000"/>
        </w:rPr>
        <w:t>/S&amp;D</w:t>
      </w:r>
      <w:r w:rsidRPr="00E80661">
        <w:rPr>
          <w:color w:val="000000"/>
        </w:rPr>
        <w:t xml:space="preserve">). Interest </w:t>
      </w:r>
      <w:r w:rsidR="002479C4" w:rsidRPr="00E80661">
        <w:rPr>
          <w:color w:val="000000"/>
        </w:rPr>
        <w:t>in</w:t>
      </w:r>
      <w:r w:rsidRPr="00E80661">
        <w:rPr>
          <w:color w:val="000000"/>
        </w:rPr>
        <w:t xml:space="preserve"> </w:t>
      </w:r>
      <w:r w:rsidR="002479C4" w:rsidRPr="00E80661">
        <w:rPr>
          <w:color w:val="000000"/>
        </w:rPr>
        <w:t xml:space="preserve">involving </w:t>
      </w:r>
      <w:r w:rsidRPr="00E80661">
        <w:rPr>
          <w:color w:val="000000"/>
        </w:rPr>
        <w:t xml:space="preserve">LRAs in the European Semester had </w:t>
      </w:r>
      <w:r w:rsidR="002479C4" w:rsidRPr="00E80661">
        <w:rPr>
          <w:color w:val="000000"/>
        </w:rPr>
        <w:t xml:space="preserve">also </w:t>
      </w:r>
      <w:r w:rsidRPr="00E80661">
        <w:rPr>
          <w:color w:val="000000"/>
        </w:rPr>
        <w:t xml:space="preserve">been expressed by </w:t>
      </w:r>
      <w:r w:rsidR="007A086B" w:rsidRPr="00E80661">
        <w:rPr>
          <w:color w:val="000000"/>
        </w:rPr>
        <w:t xml:space="preserve">European </w:t>
      </w:r>
      <w:r w:rsidR="00E80661" w:rsidRPr="00E80661">
        <w:rPr>
          <w:color w:val="000000"/>
        </w:rPr>
        <w:t>Commission</w:t>
      </w:r>
      <w:r w:rsidR="007A086B" w:rsidRPr="00E80661">
        <w:rPr>
          <w:color w:val="000000"/>
        </w:rPr>
        <w:t xml:space="preserve"> Vice-President</w:t>
      </w:r>
      <w:r w:rsidRPr="00E80661">
        <w:rPr>
          <w:color w:val="000000"/>
        </w:rPr>
        <w:t xml:space="preserve"> </w:t>
      </w:r>
      <w:r w:rsidR="002479C4" w:rsidRPr="00E80661">
        <w:rPr>
          <w:color w:val="000000"/>
        </w:rPr>
        <w:t xml:space="preserve">Valdis </w:t>
      </w:r>
      <w:r w:rsidRPr="00E80661">
        <w:rPr>
          <w:color w:val="000000"/>
        </w:rPr>
        <w:t xml:space="preserve">Dombrovskis, who accepted an invitation to take part in a debate held at the ECON meeting on 2 December 2016. </w:t>
      </w:r>
    </w:p>
    <w:p w14:paraId="5C55BC1D" w14:textId="77777777" w:rsidR="0067740D" w:rsidRPr="00E80661" w:rsidRDefault="0067740D" w:rsidP="0067740D">
      <w:pPr>
        <w:rPr>
          <w:color w:val="000000"/>
        </w:rPr>
      </w:pPr>
    </w:p>
    <w:p w14:paraId="5C55BC1E" w14:textId="773C915C" w:rsidR="0067740D" w:rsidRPr="00E80661" w:rsidRDefault="0067740D" w:rsidP="0067740D">
      <w:pPr>
        <w:rPr>
          <w:color w:val="000000"/>
        </w:rPr>
      </w:pPr>
      <w:r w:rsidRPr="00E80661">
        <w:rPr>
          <w:color w:val="000000"/>
        </w:rPr>
        <w:t>In line with the CoR</w:t>
      </w:r>
      <w:r w:rsidR="003610CA" w:rsidRPr="00E80661">
        <w:rPr>
          <w:color w:val="000000"/>
        </w:rPr>
        <w:t>'s</w:t>
      </w:r>
      <w:r w:rsidRPr="00E80661">
        <w:rPr>
          <w:color w:val="000000"/>
        </w:rPr>
        <w:t xml:space="preserve"> </w:t>
      </w:r>
      <w:r w:rsidRPr="00E80661">
        <w:rPr>
          <w:rFonts w:cs="Arial"/>
          <w:b/>
          <w:szCs w:val="22"/>
        </w:rPr>
        <w:t>Resolution on the European Commission work programme 2016</w:t>
      </w:r>
      <w:r w:rsidRPr="00644601">
        <w:rPr>
          <w:rStyle w:val="FootnoteReference"/>
          <w:b/>
        </w:rPr>
        <w:footnoteReference w:id="8"/>
      </w:r>
      <w:r w:rsidRPr="00E80661">
        <w:rPr>
          <w:rFonts w:cs="Arial"/>
          <w:b/>
          <w:szCs w:val="22"/>
        </w:rPr>
        <w:t xml:space="preserve"> </w:t>
      </w:r>
      <w:r w:rsidRPr="00E80661">
        <w:rPr>
          <w:rFonts w:cs="Arial"/>
          <w:szCs w:val="22"/>
        </w:rPr>
        <w:t xml:space="preserve">and </w:t>
      </w:r>
      <w:r w:rsidRPr="00E80661">
        <w:rPr>
          <w:color w:val="000000"/>
        </w:rPr>
        <w:t xml:space="preserve">following the adoption of this CoR opinion on the </w:t>
      </w:r>
      <w:r w:rsidRPr="00E80661">
        <w:rPr>
          <w:b/>
          <w:color w:val="000000"/>
        </w:rPr>
        <w:t>Follow-up to the Five Presidents' report: completing Europe's Economic and Monetary Union</w:t>
      </w:r>
      <w:r w:rsidRPr="00E80661">
        <w:rPr>
          <w:rStyle w:val="FootnoteReference"/>
        </w:rPr>
        <w:footnoteReference w:id="9"/>
      </w:r>
      <w:r w:rsidRPr="00E80661">
        <w:rPr>
          <w:color w:val="000000"/>
        </w:rPr>
        <w:t xml:space="preserve">, the EP endorsed, in its </w:t>
      </w:r>
      <w:r w:rsidR="008371B7">
        <w:rPr>
          <w:color w:val="000000"/>
        </w:rPr>
        <w:t>R</w:t>
      </w:r>
      <w:r w:rsidRPr="00E80661">
        <w:rPr>
          <w:color w:val="000000"/>
        </w:rPr>
        <w:t>esolution on the European Semester for economic policy coordination: implementation of 2016 priorities</w:t>
      </w:r>
      <w:r w:rsidRPr="00644601">
        <w:rPr>
          <w:rStyle w:val="FootnoteReference"/>
          <w:color w:val="000000"/>
        </w:rPr>
        <w:footnoteReference w:id="10"/>
      </w:r>
      <w:hyperlink w:anchor="_ftn1" w:history="1"/>
      <w:r w:rsidRPr="00E80661">
        <w:rPr>
          <w:i/>
          <w:iCs/>
          <w:color w:val="000000"/>
        </w:rPr>
        <w:t xml:space="preserve">, </w:t>
      </w:r>
      <w:r w:rsidRPr="00E80661">
        <w:rPr>
          <w:color w:val="000000"/>
        </w:rPr>
        <w:t>the proposal to adopt a code of conduct for the structural involvement of local and regional authorities in the European Semester.</w:t>
      </w:r>
    </w:p>
    <w:p w14:paraId="5C55BC1F" w14:textId="77777777" w:rsidR="0067740D" w:rsidRPr="00E80661" w:rsidRDefault="0067740D" w:rsidP="0067740D">
      <w:pPr>
        <w:rPr>
          <w:color w:val="000000"/>
        </w:rPr>
      </w:pPr>
      <w:r w:rsidRPr="00E80661">
        <w:rPr>
          <w:color w:val="000000"/>
        </w:rPr>
        <w:t> </w:t>
      </w:r>
    </w:p>
    <w:p w14:paraId="5C55BC20" w14:textId="69C25969" w:rsidR="0067740D" w:rsidRPr="00E80661" w:rsidRDefault="0067740D" w:rsidP="0067740D">
      <w:pPr>
        <w:rPr>
          <w:color w:val="000000"/>
        </w:rPr>
      </w:pPr>
      <w:r w:rsidRPr="00E80661">
        <w:rPr>
          <w:color w:val="000000"/>
        </w:rPr>
        <w:t>The opinion raised awareness</w:t>
      </w:r>
      <w:r w:rsidR="0046303F" w:rsidRPr="00E80661">
        <w:rPr>
          <w:color w:val="000000"/>
        </w:rPr>
        <w:t>,</w:t>
      </w:r>
      <w:r w:rsidRPr="00E80661">
        <w:rPr>
          <w:color w:val="000000"/>
        </w:rPr>
        <w:t xml:space="preserve"> </w:t>
      </w:r>
      <w:r w:rsidR="0046303F" w:rsidRPr="00E80661">
        <w:rPr>
          <w:color w:val="000000"/>
        </w:rPr>
        <w:t xml:space="preserve">particularly </w:t>
      </w:r>
      <w:r w:rsidR="00DF330A">
        <w:rPr>
          <w:color w:val="000000"/>
        </w:rPr>
        <w:t>at</w:t>
      </w:r>
      <w:r w:rsidRPr="00E80661">
        <w:rPr>
          <w:color w:val="000000"/>
        </w:rPr>
        <w:t xml:space="preserve"> the European Commission</w:t>
      </w:r>
      <w:r w:rsidR="0046303F" w:rsidRPr="00E80661">
        <w:rPr>
          <w:color w:val="000000"/>
        </w:rPr>
        <w:t>,</w:t>
      </w:r>
      <w:r w:rsidRPr="00E80661">
        <w:rPr>
          <w:color w:val="000000"/>
        </w:rPr>
        <w:t xml:space="preserve"> </w:t>
      </w:r>
      <w:r w:rsidR="0046303F" w:rsidRPr="00E80661">
        <w:rPr>
          <w:color w:val="000000"/>
        </w:rPr>
        <w:t xml:space="preserve">of the fact </w:t>
      </w:r>
      <w:r w:rsidRPr="00E80661">
        <w:rPr>
          <w:color w:val="000000"/>
        </w:rPr>
        <w:t xml:space="preserve">that local and regional concerns are </w:t>
      </w:r>
      <w:r w:rsidR="0046303F" w:rsidRPr="00E80661">
        <w:rPr>
          <w:color w:val="000000"/>
        </w:rPr>
        <w:t xml:space="preserve">also </w:t>
      </w:r>
      <w:r w:rsidRPr="00E80661">
        <w:rPr>
          <w:color w:val="000000"/>
        </w:rPr>
        <w:t xml:space="preserve">at stake. In contrast to the Five Presidents' Report, which did not mention the </w:t>
      </w:r>
      <w:r w:rsidR="0046303F" w:rsidRPr="00E80661">
        <w:rPr>
          <w:color w:val="000000"/>
        </w:rPr>
        <w:t>local</w:t>
      </w:r>
      <w:r w:rsidRPr="00E80661">
        <w:rPr>
          <w:color w:val="000000"/>
        </w:rPr>
        <w:t xml:space="preserve"> </w:t>
      </w:r>
      <w:r w:rsidR="0046303F" w:rsidRPr="00E80661">
        <w:rPr>
          <w:color w:val="000000"/>
        </w:rPr>
        <w:t xml:space="preserve">and regional </w:t>
      </w:r>
      <w:r w:rsidRPr="00E80661">
        <w:rPr>
          <w:color w:val="000000"/>
        </w:rPr>
        <w:t xml:space="preserve">level, the European Commission acknowledged its relevance. </w:t>
      </w:r>
      <w:r w:rsidR="0046303F" w:rsidRPr="00E80661">
        <w:rPr>
          <w:color w:val="000000"/>
        </w:rPr>
        <w:t>Firstly</w:t>
      </w:r>
      <w:r w:rsidRPr="00E80661">
        <w:rPr>
          <w:color w:val="000000"/>
        </w:rPr>
        <w:t xml:space="preserve">, Commissioner </w:t>
      </w:r>
      <w:r w:rsidR="0046303F" w:rsidRPr="00E80661">
        <w:t>Crețu</w:t>
      </w:r>
      <w:r w:rsidRPr="00E80661">
        <w:rPr>
          <w:color w:val="000000"/>
        </w:rPr>
        <w:t xml:space="preserve"> agreed to push for a wide consultation regarding the </w:t>
      </w:r>
      <w:r w:rsidR="0046303F" w:rsidRPr="00E80661">
        <w:rPr>
          <w:color w:val="000000"/>
        </w:rPr>
        <w:t xml:space="preserve">EU's </w:t>
      </w:r>
      <w:r w:rsidRPr="00E80661">
        <w:rPr>
          <w:color w:val="000000"/>
        </w:rPr>
        <w:t xml:space="preserve">long-term territorial strategy, and for local and regional authorities to be involved in the European Semester. She assured CoR stakeholders that all of the recommendations presented in this opinion would be given due consideration. </w:t>
      </w:r>
      <w:r w:rsidR="0046303F" w:rsidRPr="00E80661">
        <w:rPr>
          <w:color w:val="000000"/>
        </w:rPr>
        <w:t>Secondly</w:t>
      </w:r>
      <w:r w:rsidRPr="00E80661">
        <w:rPr>
          <w:color w:val="000000"/>
        </w:rPr>
        <w:t xml:space="preserve">, in response to a letter from </w:t>
      </w:r>
      <w:r w:rsidR="0046303F" w:rsidRPr="00E80661">
        <w:rPr>
          <w:color w:val="000000"/>
        </w:rPr>
        <w:t xml:space="preserve">the </w:t>
      </w:r>
      <w:r w:rsidRPr="00E80661">
        <w:rPr>
          <w:color w:val="000000"/>
        </w:rPr>
        <w:t>CoR President</w:t>
      </w:r>
      <w:r w:rsidR="0046303F" w:rsidRPr="00E80661">
        <w:rPr>
          <w:color w:val="000000"/>
        </w:rPr>
        <w:t xml:space="preserve"> Markku</w:t>
      </w:r>
      <w:r w:rsidRPr="00E80661">
        <w:rPr>
          <w:color w:val="000000"/>
        </w:rPr>
        <w:t xml:space="preserve"> Markkula stressing the main elements of the opinion on the Follow-up to the Five Presidents' report, Vice</w:t>
      </w:r>
      <w:r w:rsidR="0046303F" w:rsidRPr="00E80661">
        <w:rPr>
          <w:color w:val="000000"/>
        </w:rPr>
        <w:t>-</w:t>
      </w:r>
      <w:r w:rsidRPr="00E80661">
        <w:rPr>
          <w:color w:val="000000"/>
        </w:rPr>
        <w:t>President Dombrovskis and Commissioner Moscovici not only thanked the CoR for its valuable contributions and welcomed its support of the CoR, but also agreed with the statements presented in the letter regarding local aspects.</w:t>
      </w:r>
    </w:p>
    <w:p w14:paraId="5C55BC21" w14:textId="77777777" w:rsidR="007A086B" w:rsidRPr="00E80661" w:rsidRDefault="007A086B" w:rsidP="0067740D">
      <w:pPr>
        <w:rPr>
          <w:color w:val="000000"/>
        </w:rPr>
      </w:pPr>
    </w:p>
    <w:p w14:paraId="5C55BC22" w14:textId="216C7B49" w:rsidR="007A086B" w:rsidRPr="00E80661" w:rsidRDefault="007A086B" w:rsidP="007A086B">
      <w:pPr>
        <w:rPr>
          <w:color w:val="000000"/>
        </w:rPr>
      </w:pPr>
      <w:r w:rsidRPr="00E80661">
        <w:rPr>
          <w:color w:val="000000"/>
        </w:rPr>
        <w:t xml:space="preserve">Overall, the </w:t>
      </w:r>
      <w:r w:rsidR="0046303F" w:rsidRPr="00E80661">
        <w:rPr>
          <w:color w:val="000000"/>
        </w:rPr>
        <w:t xml:space="preserve">result </w:t>
      </w:r>
      <w:r w:rsidRPr="00E80661">
        <w:rPr>
          <w:color w:val="000000"/>
        </w:rPr>
        <w:t>of this monitoring activity is that awareness of the need for a territorial dimension of the European Semester is slowly but continuously increasing.</w:t>
      </w:r>
    </w:p>
    <w:p w14:paraId="5C55BC23" w14:textId="77777777" w:rsidR="007A086B" w:rsidRPr="00E80661" w:rsidRDefault="007A086B" w:rsidP="0067740D">
      <w:pPr>
        <w:rPr>
          <w:color w:val="000000"/>
        </w:rPr>
      </w:pPr>
    </w:p>
    <w:p w14:paraId="5C55BC24" w14:textId="77777777" w:rsidR="0067740D" w:rsidRPr="00E80661" w:rsidRDefault="0067740D" w:rsidP="0067740D">
      <w:pPr>
        <w:rPr>
          <w:color w:val="000000"/>
        </w:rPr>
      </w:pPr>
    </w:p>
    <w:tbl>
      <w:tblPr>
        <w:tblStyle w:val="TableGrid"/>
        <w:tblW w:w="0" w:type="auto"/>
        <w:shd w:val="clear" w:color="auto" w:fill="BFBFBF" w:themeFill="background1" w:themeFillShade="BF"/>
        <w:tblLook w:val="04A0" w:firstRow="1" w:lastRow="0" w:firstColumn="1" w:lastColumn="0" w:noHBand="0" w:noVBand="1"/>
      </w:tblPr>
      <w:tblGrid>
        <w:gridCol w:w="9242"/>
      </w:tblGrid>
      <w:tr w:rsidR="0067740D" w:rsidRPr="00E80661" w14:paraId="5C55BC26" w14:textId="77777777" w:rsidTr="00163903">
        <w:tc>
          <w:tcPr>
            <w:tcW w:w="9242" w:type="dxa"/>
            <w:shd w:val="clear" w:color="auto" w:fill="BFBFBF" w:themeFill="background1" w:themeFillShade="BF"/>
          </w:tcPr>
          <w:p w14:paraId="5C55BC25" w14:textId="58814222" w:rsidR="0067740D" w:rsidRPr="00E80661" w:rsidRDefault="0067740D" w:rsidP="00702A58">
            <w:pPr>
              <w:rPr>
                <w:color w:val="000000"/>
              </w:rPr>
            </w:pPr>
            <w:r w:rsidRPr="00E80661">
              <w:rPr>
                <w:color w:val="000000"/>
              </w:rPr>
              <w:t xml:space="preserve">As regards the </w:t>
            </w:r>
            <w:r w:rsidRPr="00E80661">
              <w:rPr>
                <w:b/>
                <w:bCs/>
                <w:iCs/>
                <w:color w:val="000000"/>
              </w:rPr>
              <w:t>Structural Reform Support Programme</w:t>
            </w:r>
            <w:r w:rsidR="00702A58" w:rsidRPr="00E80661">
              <w:rPr>
                <w:b/>
                <w:bCs/>
                <w:iCs/>
                <w:color w:val="000000"/>
              </w:rPr>
              <w:t xml:space="preserve"> for the period 2017 to 2020</w:t>
            </w:r>
            <w:r w:rsidRPr="00644601">
              <w:rPr>
                <w:rStyle w:val="FootnoteReference"/>
                <w:color w:val="000000"/>
              </w:rPr>
              <w:footnoteReference w:id="11"/>
            </w:r>
            <w:r w:rsidRPr="00E80661">
              <w:t xml:space="preserve">, </w:t>
            </w:r>
            <w:r w:rsidRPr="00E80661">
              <w:rPr>
                <w:color w:val="000000"/>
              </w:rPr>
              <w:t xml:space="preserve">the CoR opinion on this topic made its way into trilogue negotiations between the European Commission, the European Parliament and the Council. After the CoR adopted its opinion in April 2016, the provisional conclusions of the trilogue agreement stated two key elements of the opinion: first, the fact that the programme should be available to local and regional authorities, and second, that it should get its own funding if maintained after 2020. These elements are included in the final version of the SRSP Regulation, </w:t>
            </w:r>
            <w:r w:rsidR="00E80661" w:rsidRPr="00E80661">
              <w:rPr>
                <w:color w:val="000000"/>
              </w:rPr>
              <w:t>adopted</w:t>
            </w:r>
            <w:r w:rsidRPr="00E80661">
              <w:rPr>
                <w:color w:val="000000"/>
              </w:rPr>
              <w:t xml:space="preserve"> by the Council on 11 May 2017.</w:t>
            </w:r>
          </w:p>
        </w:tc>
      </w:tr>
    </w:tbl>
    <w:p w14:paraId="5C55BC27" w14:textId="77777777" w:rsidR="0067740D" w:rsidRPr="00E80661" w:rsidRDefault="0067740D" w:rsidP="0067740D"/>
    <w:p w14:paraId="5C55BC28" w14:textId="77777777" w:rsidR="0067740D" w:rsidRPr="00E80661" w:rsidRDefault="0067740D" w:rsidP="0067740D"/>
    <w:p w14:paraId="5C55BC29" w14:textId="08499713" w:rsidR="0067740D" w:rsidRPr="00E80661" w:rsidRDefault="0067740D" w:rsidP="0067740D">
      <w:pPr>
        <w:pStyle w:val="Heading2"/>
        <w:rPr>
          <w:b/>
          <w:szCs w:val="22"/>
        </w:rPr>
      </w:pPr>
      <w:bookmarkStart w:id="10" w:name="_Toc486243272"/>
      <w:bookmarkStart w:id="11" w:name="_Toc485373824"/>
      <w:r w:rsidRPr="00E80661">
        <w:rPr>
          <w:b/>
          <w:szCs w:val="22"/>
        </w:rPr>
        <w:t xml:space="preserve">Single Market and </w:t>
      </w:r>
      <w:r w:rsidR="0046303F" w:rsidRPr="00E80661">
        <w:rPr>
          <w:b/>
          <w:szCs w:val="22"/>
        </w:rPr>
        <w:t xml:space="preserve">the </w:t>
      </w:r>
      <w:r w:rsidRPr="00E80661">
        <w:rPr>
          <w:b/>
          <w:szCs w:val="22"/>
        </w:rPr>
        <w:t>sharing economy</w:t>
      </w:r>
      <w:bookmarkEnd w:id="10"/>
      <w:bookmarkEnd w:id="11"/>
    </w:p>
    <w:p w14:paraId="5C55BC2A" w14:textId="77777777" w:rsidR="0067740D" w:rsidRPr="00E80661" w:rsidRDefault="0067740D" w:rsidP="0067740D"/>
    <w:p w14:paraId="5C55BC2B" w14:textId="041D1F8C" w:rsidR="0067740D" w:rsidRPr="00E80661" w:rsidRDefault="0067740D" w:rsidP="0067740D">
      <w:r w:rsidRPr="00E80661">
        <w:t xml:space="preserve">Thanks to the opinion on </w:t>
      </w:r>
      <w:r w:rsidRPr="00E80661">
        <w:rPr>
          <w:b/>
        </w:rPr>
        <w:t>Upgrading the Single Market</w:t>
      </w:r>
      <w:r w:rsidRPr="00E80661">
        <w:rPr>
          <w:rStyle w:val="FootnoteReference"/>
        </w:rPr>
        <w:footnoteReference w:id="12"/>
      </w:r>
      <w:hyperlink w:anchor="_ftn3" w:history="1"/>
      <w:r w:rsidRPr="00E80661">
        <w:t xml:space="preserve">, the CoR increased its interinstitutional cooperation with the European Parliament and the European Commission on the Single Market strategy, mainly via presentations by the rapporteur at the </w:t>
      </w:r>
      <w:r w:rsidR="007A086B" w:rsidRPr="00E80661">
        <w:t>EP Internal Market and Consumer Protection (IMCO) Committee</w:t>
      </w:r>
      <w:r w:rsidRPr="00E80661">
        <w:t xml:space="preserve"> hearing and at the European Commission Single Market Forum. This cooperation will continue to be important in the context of the roadmap for </w:t>
      </w:r>
      <w:r w:rsidR="00702A58" w:rsidRPr="00E80661">
        <w:t>delivering</w:t>
      </w:r>
      <w:r w:rsidRPr="00E80661">
        <w:t xml:space="preserve"> the Single Market </w:t>
      </w:r>
      <w:r w:rsidR="00B21CD3">
        <w:t>s</w:t>
      </w:r>
      <w:r w:rsidRPr="00E80661">
        <w:t>trategy.</w:t>
      </w:r>
    </w:p>
    <w:p w14:paraId="5C55BC2C" w14:textId="77777777" w:rsidR="0067740D" w:rsidRPr="00E80661" w:rsidRDefault="0067740D" w:rsidP="0067740D"/>
    <w:p w14:paraId="5C55BC2D" w14:textId="32C8108D" w:rsidR="0067740D" w:rsidRPr="00E80661" w:rsidRDefault="0067740D" w:rsidP="0067740D">
      <w:r w:rsidRPr="00E80661">
        <w:t xml:space="preserve">In 2016, the CoR led the way on the sharing economy with its opinion on </w:t>
      </w:r>
      <w:r w:rsidRPr="00E80661">
        <w:rPr>
          <w:b/>
        </w:rPr>
        <w:t>The local and regional dimension of the sharing economy</w:t>
      </w:r>
      <w:r w:rsidRPr="00E80661">
        <w:rPr>
          <w:rStyle w:val="FootnoteReference"/>
        </w:rPr>
        <w:footnoteReference w:id="13"/>
      </w:r>
      <w:hyperlink w:anchor="_ftn5" w:history="1"/>
      <w:r w:rsidRPr="00E80661">
        <w:t xml:space="preserve">, as this was the first significant document focused solely on the sharing/collaborative economy to be published by an EU body. It is worth noting that the first policy developments are in line with key recommendations from the CoR opinion, such as the Commission's intention, stated in its Communication </w:t>
      </w:r>
      <w:r w:rsidR="00702A58" w:rsidRPr="00E80661">
        <w:t xml:space="preserve">on </w:t>
      </w:r>
      <w:r w:rsidRPr="00E80661">
        <w:t xml:space="preserve">Upgrading the </w:t>
      </w:r>
      <w:r w:rsidR="00702A58" w:rsidRPr="00E80661">
        <w:t>S</w:t>
      </w:r>
      <w:r w:rsidRPr="00E80661">
        <w:t xml:space="preserve">ingle </w:t>
      </w:r>
      <w:r w:rsidR="00702A58" w:rsidRPr="00E80661">
        <w:t>M</w:t>
      </w:r>
      <w:r w:rsidRPr="00E80661">
        <w:t>arket</w:t>
      </w:r>
      <w:r w:rsidRPr="00E80661">
        <w:rPr>
          <w:rStyle w:val="FootnoteReference"/>
          <w:szCs w:val="22"/>
        </w:rPr>
        <w:footnoteReference w:id="14"/>
      </w:r>
      <w:r w:rsidRPr="00E80661">
        <w:t xml:space="preserve">, to develop a European agenda for the collaborative economy. This intention was put into practice with the June 2016 presentation by the European Commission of </w:t>
      </w:r>
      <w:r w:rsidR="00702A58" w:rsidRPr="00E80661">
        <w:t>its C</w:t>
      </w:r>
      <w:r w:rsidRPr="00E80661">
        <w:t>ommunication on A European agenda for the collaborative economy</w:t>
      </w:r>
      <w:r w:rsidRPr="00E80661">
        <w:rPr>
          <w:rStyle w:val="FootnoteReference"/>
        </w:rPr>
        <w:footnoteReference w:id="15"/>
      </w:r>
      <w:hyperlink w:anchor="_ftn7" w:history="1"/>
      <w:r w:rsidRPr="00E80661">
        <w:t xml:space="preserve">, which aims to provide non-legally binding guidance on how existing EU law applies to collaborative economy business models. Such a comprehensive agenda was one of the key requests </w:t>
      </w:r>
      <w:r w:rsidR="00702A58" w:rsidRPr="00E80661">
        <w:t>put forward in</w:t>
      </w:r>
      <w:r w:rsidRPr="00E80661">
        <w:t xml:space="preserve"> the CoR opinion.</w:t>
      </w:r>
    </w:p>
    <w:p w14:paraId="5C55BC2E" w14:textId="77777777" w:rsidR="0067740D" w:rsidRPr="00E80661" w:rsidRDefault="0067740D" w:rsidP="0067740D">
      <w:r w:rsidRPr="00E80661">
        <w:t> </w:t>
      </w:r>
    </w:p>
    <w:p w14:paraId="5C55BC2F" w14:textId="73B7FE9E" w:rsidR="0067740D" w:rsidRPr="00E80661" w:rsidRDefault="0067740D" w:rsidP="0067740D">
      <w:r w:rsidRPr="00E80661">
        <w:t>Moreover, both the European Commission and the European Parliament have been very receptive to the CoR on this topic: the EP IMCO Committee's report</w:t>
      </w:r>
      <w:r w:rsidRPr="00E80661">
        <w:rPr>
          <w:rStyle w:val="FootnoteReference"/>
          <w:szCs w:val="22"/>
        </w:rPr>
        <w:footnoteReference w:id="16"/>
      </w:r>
      <w:r w:rsidRPr="00E80661">
        <w:t xml:space="preserve"> on the collaborative economy contains a dedicated section on the local dimension of the collaborative economy and acknowledges the important role of local and regional authorities in this field. The report observes, for instance, that "an increasing number of local authorities and governments are already active in regulating and developing the collaborative economy".</w:t>
      </w:r>
    </w:p>
    <w:p w14:paraId="5C55BC30" w14:textId="77777777" w:rsidR="0067740D" w:rsidRPr="00E80661" w:rsidRDefault="0067740D" w:rsidP="0067740D"/>
    <w:p w14:paraId="5C55BC31" w14:textId="77777777" w:rsidR="0067740D" w:rsidRPr="00E80661" w:rsidRDefault="0067740D" w:rsidP="0067740D">
      <w:pPr>
        <w:pStyle w:val="Heading2"/>
        <w:rPr>
          <w:b/>
          <w:szCs w:val="22"/>
        </w:rPr>
      </w:pPr>
      <w:bookmarkStart w:id="12" w:name="_Toc486243273"/>
      <w:bookmarkStart w:id="13" w:name="_Toc485373825"/>
      <w:r w:rsidRPr="00E80661">
        <w:rPr>
          <w:b/>
          <w:szCs w:val="22"/>
        </w:rPr>
        <w:t>Jobs and growth</w:t>
      </w:r>
      <w:bookmarkEnd w:id="12"/>
      <w:bookmarkEnd w:id="13"/>
    </w:p>
    <w:p w14:paraId="5C55BC32" w14:textId="77777777" w:rsidR="0067740D" w:rsidRPr="00E80661" w:rsidRDefault="0067740D" w:rsidP="0067740D"/>
    <w:p w14:paraId="5C55BC33" w14:textId="4574CF99" w:rsidR="0067740D" w:rsidRPr="00E80661" w:rsidRDefault="0067740D" w:rsidP="00644601">
      <w:pPr>
        <w:pStyle w:val="ListParagraph"/>
        <w:ind w:left="0"/>
      </w:pPr>
      <w:r w:rsidRPr="00E80661">
        <w:t>The European Commission proposal for a Regulation on protection against dumped imports from countries not members of the European Union and on protection against subsidised imports from countries not members of the European Union</w:t>
      </w:r>
      <w:r w:rsidRPr="00E80661">
        <w:rPr>
          <w:rStyle w:val="FootnoteReference"/>
        </w:rPr>
        <w:footnoteReference w:id="17"/>
      </w:r>
      <w:r w:rsidRPr="00E80661">
        <w:t xml:space="preserve"> addresses a number of issues raised in the CoR opinion </w:t>
      </w:r>
      <w:r w:rsidR="00897BBC" w:rsidRPr="00E80661">
        <w:t>on</w:t>
      </w:r>
      <w:r w:rsidR="00897BBC" w:rsidRPr="00E80661">
        <w:rPr>
          <w:b/>
        </w:rPr>
        <w:t xml:space="preserve"> </w:t>
      </w:r>
      <w:r w:rsidRPr="00E80661">
        <w:rPr>
          <w:b/>
        </w:rPr>
        <w:t>Steel: Preserving sustainable jobs and growth in Europe</w:t>
      </w:r>
      <w:r w:rsidRPr="00E80661">
        <w:rPr>
          <w:rStyle w:val="FootnoteReference"/>
          <w:szCs w:val="22"/>
        </w:rPr>
        <w:footnoteReference w:id="18"/>
      </w:r>
      <w:r w:rsidRPr="00E80661">
        <w:t xml:space="preserve">. </w:t>
      </w:r>
    </w:p>
    <w:p w14:paraId="5C55BC34" w14:textId="77777777" w:rsidR="0067740D" w:rsidRPr="00E80661" w:rsidRDefault="0067740D" w:rsidP="00644601">
      <w:pPr>
        <w:pStyle w:val="ListParagraph"/>
        <w:ind w:left="0"/>
      </w:pPr>
    </w:p>
    <w:p w14:paraId="5C55BC35" w14:textId="402FBF99" w:rsidR="0067740D" w:rsidRPr="00E80661" w:rsidRDefault="0067740D" w:rsidP="00644601">
      <w:pPr>
        <w:pStyle w:val="ListParagraph"/>
        <w:ind w:left="0"/>
      </w:pPr>
      <w:r w:rsidRPr="00E80661">
        <w:t>In general, the European Commission agrees on:</w:t>
      </w:r>
    </w:p>
    <w:p w14:paraId="5C55BC36" w14:textId="1C768E56" w:rsidR="0067740D" w:rsidRPr="00E80661" w:rsidRDefault="0067740D" w:rsidP="00644601">
      <w:pPr>
        <w:pStyle w:val="ListParagraph"/>
        <w:numPr>
          <w:ilvl w:val="0"/>
          <w:numId w:val="49"/>
        </w:numPr>
      </w:pPr>
      <w:r w:rsidRPr="00E80661">
        <w:t>the need to use a non-standard methodology in anti-dumping and anti-subsidy investigations into Chinese imports</w:t>
      </w:r>
      <w:r w:rsidR="007A086B" w:rsidRPr="00E80661">
        <w:t>;</w:t>
      </w:r>
      <w:r w:rsidRPr="00E80661">
        <w:t xml:space="preserve"> </w:t>
      </w:r>
    </w:p>
    <w:p w14:paraId="5C55BC37" w14:textId="0B3F39AF" w:rsidR="0067740D" w:rsidRPr="00E80661" w:rsidRDefault="0067740D" w:rsidP="00644601">
      <w:pPr>
        <w:pStyle w:val="ListParagraph"/>
        <w:numPr>
          <w:ilvl w:val="0"/>
          <w:numId w:val="49"/>
        </w:numPr>
      </w:pPr>
      <w:r w:rsidRPr="00E80661">
        <w:t>the fact that steel is one of the sectors most at risk from dumped Chinese goods</w:t>
      </w:r>
      <w:r w:rsidR="007A086B" w:rsidRPr="00E80661">
        <w:t>;</w:t>
      </w:r>
      <w:r w:rsidRPr="00E80661">
        <w:t xml:space="preserve"> </w:t>
      </w:r>
    </w:p>
    <w:p w14:paraId="5C55BC38" w14:textId="1354C3E5" w:rsidR="0067740D" w:rsidRPr="00E80661" w:rsidRDefault="0067740D" w:rsidP="00644601">
      <w:pPr>
        <w:pStyle w:val="ListParagraph"/>
        <w:numPr>
          <w:ilvl w:val="0"/>
          <w:numId w:val="49"/>
        </w:numPr>
      </w:pPr>
      <w:r w:rsidRPr="00E80661">
        <w:t xml:space="preserve">the fact that while the macroeconomic impact of trade defence instruments </w:t>
      </w:r>
      <w:r w:rsidR="00897BBC" w:rsidRPr="00E80661">
        <w:t>is</w:t>
      </w:r>
      <w:r w:rsidRPr="00E80661">
        <w:t xml:space="preserve"> small, they may be crucial for </w:t>
      </w:r>
      <w:r w:rsidR="00897BBC" w:rsidRPr="00E80661">
        <w:t xml:space="preserve">both </w:t>
      </w:r>
      <w:r w:rsidRPr="00E80661">
        <w:t>certain sectors or regions and that this needs to be considered when designing trade defence instruments</w:t>
      </w:r>
      <w:r w:rsidR="007A086B" w:rsidRPr="00E80661">
        <w:t>;</w:t>
      </w:r>
      <w:r w:rsidRPr="00E80661">
        <w:t xml:space="preserve"> </w:t>
      </w:r>
    </w:p>
    <w:p w14:paraId="5C55BC3C" w14:textId="2468BAB0" w:rsidR="0067740D" w:rsidRPr="00E80661" w:rsidRDefault="0067740D" w:rsidP="00644601">
      <w:pPr>
        <w:pStyle w:val="ListParagraph"/>
        <w:numPr>
          <w:ilvl w:val="0"/>
          <w:numId w:val="49"/>
        </w:numPr>
      </w:pPr>
      <w:r w:rsidRPr="00E80661">
        <w:t>the fact that increased imports from China could lead to increased carbon leakage as Chinese production in general creates more CO2 emissions than production within the EU</w:t>
      </w:r>
      <w:r w:rsidR="007A086B" w:rsidRPr="00E80661">
        <w:t>.</w:t>
      </w:r>
    </w:p>
    <w:p w14:paraId="5C55BC3D" w14:textId="478A3D6B" w:rsidR="000B6871" w:rsidRPr="00E80661" w:rsidRDefault="000B6871">
      <w:pPr>
        <w:overflowPunct/>
        <w:autoSpaceDE/>
        <w:autoSpaceDN/>
        <w:adjustRightInd/>
        <w:spacing w:line="240" w:lineRule="auto"/>
        <w:jc w:val="left"/>
        <w:textAlignment w:val="auto"/>
      </w:pPr>
      <w:bookmarkStart w:id="14" w:name="_Toc418860745"/>
      <w:bookmarkStart w:id="15" w:name="_Toc445280431"/>
      <w:bookmarkStart w:id="16" w:name="_Toc445280493"/>
      <w:bookmarkStart w:id="17" w:name="_Toc445280547"/>
      <w:r w:rsidRPr="00E80661">
        <w:br w:type="page"/>
      </w:r>
    </w:p>
    <w:p w14:paraId="5C55BC3E" w14:textId="77777777" w:rsidR="00311510" w:rsidRPr="00E80661" w:rsidRDefault="007F0B1D" w:rsidP="00311510">
      <w:pPr>
        <w:pStyle w:val="Heading2"/>
        <w:rPr>
          <w:b/>
          <w:szCs w:val="22"/>
        </w:rPr>
      </w:pPr>
      <w:bookmarkStart w:id="18" w:name="_Toc486243274"/>
      <w:bookmarkStart w:id="19" w:name="_Toc485373826"/>
      <w:r w:rsidRPr="00E80661">
        <w:rPr>
          <w:b/>
          <w:szCs w:val="22"/>
        </w:rPr>
        <w:t>Tourism</w:t>
      </w:r>
      <w:bookmarkEnd w:id="18"/>
      <w:bookmarkEnd w:id="19"/>
    </w:p>
    <w:p w14:paraId="5C55BC3F" w14:textId="77777777" w:rsidR="000F41AB" w:rsidRPr="00E80661" w:rsidRDefault="000F41AB" w:rsidP="00FC0CC2">
      <w:pPr>
        <w:rPr>
          <w:szCs w:val="22"/>
        </w:rPr>
      </w:pPr>
    </w:p>
    <w:p w14:paraId="5C55BC40" w14:textId="343A8AAE" w:rsidR="0067740D" w:rsidRPr="00E80661" w:rsidRDefault="0067740D" w:rsidP="0067740D">
      <w:r w:rsidRPr="00E80661">
        <w:t xml:space="preserve">The own-initiative opinion </w:t>
      </w:r>
      <w:r w:rsidR="00897BBC" w:rsidRPr="00E80661">
        <w:t>on</w:t>
      </w:r>
      <w:r w:rsidR="00897BBC" w:rsidRPr="00E80661">
        <w:rPr>
          <w:b/>
        </w:rPr>
        <w:t xml:space="preserve"> </w:t>
      </w:r>
      <w:r w:rsidRPr="00E80661">
        <w:rPr>
          <w:b/>
        </w:rPr>
        <w:t>Tourism as a driving force for regional cooperation across the EU</w:t>
      </w:r>
      <w:r w:rsidRPr="00644601">
        <w:rPr>
          <w:rStyle w:val="FootnoteReference"/>
          <w:b/>
        </w:rPr>
        <w:footnoteReference w:id="19"/>
      </w:r>
      <w:r w:rsidRPr="00E80661">
        <w:t xml:space="preserve"> makes the case for an integrated EU tourism policy coupled with a multi-annual action plan and a set of measures, such as </w:t>
      </w:r>
      <w:r w:rsidR="006761BE" w:rsidRPr="00E80661">
        <w:t xml:space="preserve">the </w:t>
      </w:r>
      <w:r w:rsidRPr="00E80661">
        <w:t xml:space="preserve">creation of regional tourism investment platforms under the EFSI, the organisation of regional investment fora for tourism, a dedicated heading for promoting European tourism in the annual EU budget, a new award for "European Capitals of Smart Tourism" suggested by the European Parliament, the creation of a European </w:t>
      </w:r>
      <w:r w:rsidR="006761BE" w:rsidRPr="00E80661">
        <w:t>c</w:t>
      </w:r>
      <w:r w:rsidRPr="00E80661">
        <w:t xml:space="preserve">itizens travel card or a formal European-wide recognition of tourism qualifications – all </w:t>
      </w:r>
      <w:r w:rsidR="006761BE" w:rsidRPr="00E80661">
        <w:t xml:space="preserve">with the </w:t>
      </w:r>
      <w:r w:rsidRPr="00E80661">
        <w:t xml:space="preserve">aim to support tourism-related SMEs. </w:t>
      </w:r>
      <w:r w:rsidR="007A086B" w:rsidRPr="00E80661">
        <w:t>Even if it is too early to measure the full impact of this opinion</w:t>
      </w:r>
      <w:r w:rsidR="00177055" w:rsidRPr="00E80661">
        <w:t xml:space="preserve"> adopted in December 2016,</w:t>
      </w:r>
      <w:r w:rsidR="006761BE" w:rsidRPr="00E80661">
        <w:t xml:space="preserve"> early </w:t>
      </w:r>
      <w:r w:rsidRPr="00E80661">
        <w:t>results</w:t>
      </w:r>
      <w:r w:rsidR="00177055" w:rsidRPr="00E80661">
        <w:t xml:space="preserve"> highligh</w:t>
      </w:r>
      <w:r w:rsidR="006761BE" w:rsidRPr="00E80661">
        <w:t xml:space="preserve">t </w:t>
      </w:r>
      <w:r w:rsidR="00177055" w:rsidRPr="00E80661">
        <w:t xml:space="preserve">the CoR's </w:t>
      </w:r>
      <w:r w:rsidR="00120A96" w:rsidRPr="00E80661">
        <w:t xml:space="preserve">enhanced </w:t>
      </w:r>
      <w:r w:rsidR="00177055" w:rsidRPr="00E80661">
        <w:t>impact in the area</w:t>
      </w:r>
      <w:r w:rsidRPr="00E80661">
        <w:t xml:space="preserve">: </w:t>
      </w:r>
    </w:p>
    <w:p w14:paraId="5C55BC41" w14:textId="6FF12F1D" w:rsidR="0067740D" w:rsidRPr="00E80661" w:rsidRDefault="0067740D" w:rsidP="00644601">
      <w:pPr>
        <w:pStyle w:val="ListParagraph"/>
        <w:numPr>
          <w:ilvl w:val="0"/>
          <w:numId w:val="56"/>
        </w:numPr>
      </w:pPr>
      <w:r w:rsidRPr="00E80661">
        <w:t xml:space="preserve">Due to its opinion the CoR is perceived as a driving force for European </w:t>
      </w:r>
      <w:r w:rsidR="006761BE" w:rsidRPr="00E80661">
        <w:t>t</w:t>
      </w:r>
      <w:r w:rsidRPr="00E80661">
        <w:t xml:space="preserve">ourism policy and was for the first time invited to deliver a keynote speech at the European Tourism Day 2016 </w:t>
      </w:r>
      <w:r w:rsidR="007A086B" w:rsidRPr="00E80661">
        <w:t xml:space="preserve">and European Tourism Forum 2016 </w:t>
      </w:r>
      <w:r w:rsidRPr="00E80661">
        <w:t>alongside Commissioner Bie</w:t>
      </w:r>
      <w:r w:rsidR="006761BE" w:rsidRPr="00E80661">
        <w:t>ń</w:t>
      </w:r>
      <w:r w:rsidRPr="00E80661">
        <w:t>kowska and leading Members of the European Parliament.</w:t>
      </w:r>
    </w:p>
    <w:p w14:paraId="5C55BC42" w14:textId="53BEF701" w:rsidR="0067740D" w:rsidRPr="00E80661" w:rsidRDefault="0067740D" w:rsidP="00644601">
      <w:pPr>
        <w:pStyle w:val="ListParagraph"/>
        <w:numPr>
          <w:ilvl w:val="0"/>
          <w:numId w:val="56"/>
        </w:numPr>
      </w:pPr>
      <w:r w:rsidRPr="00E80661">
        <w:t xml:space="preserve">The main conference on European </w:t>
      </w:r>
      <w:r w:rsidR="006761BE" w:rsidRPr="00E80661">
        <w:t>t</w:t>
      </w:r>
      <w:r w:rsidRPr="00E80661">
        <w:t xml:space="preserve">ourism on World Tourism Day 2016 jointly organised by EC, the EP, the CoR and major stakeholders </w:t>
      </w:r>
      <w:r w:rsidR="006761BE" w:rsidRPr="00E80661">
        <w:t>from</w:t>
      </w:r>
      <w:r w:rsidRPr="00E80661">
        <w:t xml:space="preserve"> the industry took place at the CoR.</w:t>
      </w:r>
    </w:p>
    <w:p w14:paraId="5C55BC45" w14:textId="34957EEC" w:rsidR="0067740D" w:rsidRPr="00E80661" w:rsidRDefault="0067740D" w:rsidP="00644601">
      <w:pPr>
        <w:pStyle w:val="ListParagraph"/>
        <w:numPr>
          <w:ilvl w:val="0"/>
          <w:numId w:val="56"/>
        </w:numPr>
      </w:pPr>
      <w:r w:rsidRPr="00E80661">
        <w:t xml:space="preserve">The CoR rapporteur has been invited </w:t>
      </w:r>
      <w:r w:rsidR="007A086B" w:rsidRPr="00E80661">
        <w:t xml:space="preserve">by the EC </w:t>
      </w:r>
      <w:r w:rsidRPr="00E80661">
        <w:t xml:space="preserve">to be a member of the jury awarding the newly created </w:t>
      </w:r>
      <w:r w:rsidR="008B6DC9" w:rsidRPr="00E80661">
        <w:t xml:space="preserve">annual </w:t>
      </w:r>
      <w:r w:rsidRPr="00E80661">
        <w:t>European Capital of Tourism Award which also takes up the CoR</w:t>
      </w:r>
      <w:r w:rsidR="00D52602" w:rsidRPr="00E80661">
        <w:t>'</w:t>
      </w:r>
      <w:r w:rsidRPr="00E80661">
        <w:t>s smart cities/regions approach.</w:t>
      </w:r>
    </w:p>
    <w:p w14:paraId="5C55BC46" w14:textId="6632E991" w:rsidR="008B6DC9" w:rsidRDefault="008B6DC9" w:rsidP="00644601">
      <w:pPr>
        <w:pStyle w:val="ListParagraph"/>
        <w:numPr>
          <w:ilvl w:val="0"/>
          <w:numId w:val="56"/>
        </w:numPr>
      </w:pPr>
      <w:r w:rsidRPr="00E80661">
        <w:t xml:space="preserve">The future Austrian Presidency of the Council (2018) has invited the CoR rapporteur for an exchange of views in preparation </w:t>
      </w:r>
      <w:r w:rsidR="00D52602" w:rsidRPr="00E80661">
        <w:t>for</w:t>
      </w:r>
      <w:r w:rsidRPr="00E80661">
        <w:t xml:space="preserve"> the presidency programme.</w:t>
      </w:r>
    </w:p>
    <w:p w14:paraId="537F8C98" w14:textId="5F4176D6" w:rsidR="0034063B" w:rsidRPr="00E80661" w:rsidRDefault="0034063B" w:rsidP="00644601">
      <w:pPr>
        <w:pStyle w:val="ListParagraph"/>
        <w:numPr>
          <w:ilvl w:val="0"/>
          <w:numId w:val="56"/>
        </w:numPr>
      </w:pPr>
      <w:r>
        <w:t xml:space="preserve">At the initiative of the CoR rapporteur MEPs, NECSTour regions and the </w:t>
      </w:r>
      <w:r w:rsidRPr="00684760">
        <w:t xml:space="preserve">European Travel Commission </w:t>
      </w:r>
      <w:r>
        <w:t>(ETC) joined the rapporteur in signing an Open Letter to President Juncker inviting the EC to include tourism in the European Commission's Work Programme 2018.</w:t>
      </w:r>
    </w:p>
    <w:p w14:paraId="5C55BC47" w14:textId="29569D52" w:rsidR="0067740D" w:rsidRPr="00E80661" w:rsidRDefault="0067740D" w:rsidP="00644601">
      <w:pPr>
        <w:pStyle w:val="ListParagraph"/>
        <w:numPr>
          <w:ilvl w:val="0"/>
          <w:numId w:val="56"/>
        </w:numPr>
      </w:pPr>
      <w:r w:rsidRPr="00E80661">
        <w:t xml:space="preserve">The </w:t>
      </w:r>
      <w:r w:rsidR="0034063B">
        <w:t>ETC</w:t>
      </w:r>
      <w:r w:rsidRPr="00E80661">
        <w:t xml:space="preserve"> invited the CoR to become</w:t>
      </w:r>
      <w:r w:rsidR="00E15699" w:rsidRPr="00E80661">
        <w:t>,</w:t>
      </w:r>
      <w:r w:rsidRPr="00E80661">
        <w:t xml:space="preserve"> </w:t>
      </w:r>
      <w:r w:rsidR="00E15699" w:rsidRPr="00E80661">
        <w:t xml:space="preserve">along </w:t>
      </w:r>
      <w:r w:rsidRPr="00E80661">
        <w:t>with the EC and the EP</w:t>
      </w:r>
      <w:r w:rsidR="00E15699" w:rsidRPr="00E80661">
        <w:t>,</w:t>
      </w:r>
      <w:r w:rsidRPr="00E80661">
        <w:t xml:space="preserve"> a co-organiser of the Promotional Platform for the EU-China Tourism Year 2018. </w:t>
      </w:r>
    </w:p>
    <w:p w14:paraId="5C55BC48" w14:textId="6E1AD92F" w:rsidR="0067740D" w:rsidRPr="00E80661" w:rsidRDefault="0067740D" w:rsidP="00644601">
      <w:pPr>
        <w:pStyle w:val="ListParagraph"/>
        <w:numPr>
          <w:ilvl w:val="0"/>
          <w:numId w:val="56"/>
        </w:numPr>
      </w:pPr>
      <w:r w:rsidRPr="00E80661">
        <w:t xml:space="preserve">NECSTouR, the European association of tourism regions, has shown </w:t>
      </w:r>
      <w:r w:rsidR="006456F9" w:rsidRPr="00E80661">
        <w:t xml:space="preserve">a genuine </w:t>
      </w:r>
      <w:r w:rsidRPr="00E80661">
        <w:t xml:space="preserve">interest </w:t>
      </w:r>
      <w:r w:rsidR="006456F9" w:rsidRPr="00E80661">
        <w:t>in</w:t>
      </w:r>
      <w:r w:rsidRPr="00E80661">
        <w:t xml:space="preserve"> implement</w:t>
      </w:r>
      <w:r w:rsidR="006456F9" w:rsidRPr="00E80661">
        <w:t>ing</w:t>
      </w:r>
      <w:r w:rsidRPr="00E80661">
        <w:t xml:space="preserve"> proposals </w:t>
      </w:r>
      <w:r w:rsidR="006456F9" w:rsidRPr="00E80661">
        <w:t xml:space="preserve">from </w:t>
      </w:r>
      <w:r w:rsidRPr="00E80661">
        <w:t>the opinion</w:t>
      </w:r>
      <w:r w:rsidR="006456F9" w:rsidRPr="00E80661">
        <w:t>,</w:t>
      </w:r>
      <w:r w:rsidRPr="00E80661">
        <w:t xml:space="preserve"> such as the European citizens' travel card</w:t>
      </w:r>
      <w:r w:rsidR="006456F9" w:rsidRPr="00E80661">
        <w:t>,</w:t>
      </w:r>
      <w:r w:rsidRPr="00E80661">
        <w:t xml:space="preserve"> in close cooperation with the CoR. </w:t>
      </w:r>
    </w:p>
    <w:p w14:paraId="5C55BC49" w14:textId="0388DCDF" w:rsidR="00163903" w:rsidRPr="00E80661" w:rsidRDefault="0067740D" w:rsidP="005B2CFF">
      <w:r w:rsidRPr="00E80661">
        <w:t xml:space="preserve">The EP, the Commission, the European Investment Bank, the WTO </w:t>
      </w:r>
      <w:r w:rsidR="00114B35" w:rsidRPr="00E80661">
        <w:t>and</w:t>
      </w:r>
      <w:r w:rsidRPr="00E80661">
        <w:t xml:space="preserve"> tourism</w:t>
      </w:r>
      <w:r w:rsidR="00114B35" w:rsidRPr="00E80661">
        <w:t>-</w:t>
      </w:r>
      <w:r w:rsidRPr="00E80661">
        <w:t>related stakeholders have expressed their interest in working together with the CoR in implementing the CoR opinion. The CoR's proposal to establish a</w:t>
      </w:r>
      <w:r w:rsidR="008B6DC9" w:rsidRPr="00E80661">
        <w:t xml:space="preserve"> </w:t>
      </w:r>
      <w:r w:rsidRPr="00E80661">
        <w:t xml:space="preserve">Tourism Contact Group (TCG) bringing together all decision-makers was accepted by all EU institutions and stakeholders. The Contact Group will </w:t>
      </w:r>
      <w:r w:rsidR="00114B35" w:rsidRPr="00E80661">
        <w:t>begin</w:t>
      </w:r>
      <w:r w:rsidRPr="00E80661">
        <w:t xml:space="preserve"> its work in 2017 and </w:t>
      </w:r>
      <w:r w:rsidR="00114B35" w:rsidRPr="00E80661">
        <w:t xml:space="preserve">will </w:t>
      </w:r>
      <w:r w:rsidRPr="00E80661">
        <w:t>be a valuable tool for pursuing the implementation of the opinion.</w:t>
      </w:r>
    </w:p>
    <w:p w14:paraId="5C55BC4A" w14:textId="77777777" w:rsidR="00163903" w:rsidRPr="00E80661" w:rsidRDefault="00163903" w:rsidP="005B2CFF"/>
    <w:p w14:paraId="5C55BC4B" w14:textId="348E03BF" w:rsidR="00B96369" w:rsidRPr="00E80661" w:rsidRDefault="00E80661" w:rsidP="00B96369">
      <w:pPr>
        <w:pStyle w:val="Heading2"/>
        <w:rPr>
          <w:b/>
        </w:rPr>
      </w:pPr>
      <w:bookmarkStart w:id="20" w:name="_Toc486243275"/>
      <w:bookmarkStart w:id="21" w:name="_Toc485373827"/>
      <w:r w:rsidRPr="00E80661">
        <w:rPr>
          <w:b/>
        </w:rPr>
        <w:t>Enterprise</w:t>
      </w:r>
      <w:r w:rsidR="00B96369" w:rsidRPr="00E80661">
        <w:rPr>
          <w:b/>
        </w:rPr>
        <w:t xml:space="preserve"> and Industry</w:t>
      </w:r>
      <w:bookmarkEnd w:id="20"/>
      <w:bookmarkEnd w:id="21"/>
    </w:p>
    <w:p w14:paraId="5C55BC4C" w14:textId="77777777" w:rsidR="00B96369" w:rsidRPr="00E80661" w:rsidRDefault="00B96369" w:rsidP="00B96369"/>
    <w:p w14:paraId="5C55BC4D" w14:textId="77777777" w:rsidR="00B96369" w:rsidRPr="00E80661" w:rsidRDefault="00B96369" w:rsidP="00644601">
      <w:pPr>
        <w:pStyle w:val="Header"/>
        <w:rPr>
          <w:rFonts w:eastAsiaTheme="minorHAnsi"/>
          <w:szCs w:val="22"/>
        </w:rPr>
      </w:pPr>
      <w:bookmarkStart w:id="22" w:name="_Toc484013320"/>
      <w:r w:rsidRPr="00E80661">
        <w:rPr>
          <w:szCs w:val="22"/>
        </w:rPr>
        <w:t xml:space="preserve">The own-initiative opinion on </w:t>
      </w:r>
      <w:r w:rsidRPr="00E80661">
        <w:rPr>
          <w:b/>
          <w:szCs w:val="22"/>
        </w:rPr>
        <w:t>State aid and Services of General Economic Interest</w:t>
      </w:r>
      <w:bookmarkEnd w:id="22"/>
      <w:r w:rsidRPr="00644601">
        <w:rPr>
          <w:rStyle w:val="FootnoteReference"/>
          <w:b/>
          <w:sz w:val="22"/>
        </w:rPr>
        <w:footnoteReference w:id="20"/>
      </w:r>
      <w:r w:rsidRPr="00E80661">
        <w:rPr>
          <w:szCs w:val="22"/>
        </w:rPr>
        <w:t xml:space="preserve"> (SGEIs) expresses the main political positions of the CoR in relation to the Commission's Notice on the Notion of State aid </w:t>
      </w:r>
      <w:r w:rsidRPr="00E80661">
        <w:rPr>
          <w:rFonts w:eastAsiaTheme="minorHAnsi"/>
          <w:szCs w:val="22"/>
        </w:rPr>
        <w:t>as referred to in Article 107(1) of the Treaty on the Functioning of the European Union (OJ 2016/C 262/01)</w:t>
      </w:r>
      <w:r w:rsidRPr="00E80661">
        <w:rPr>
          <w:rStyle w:val="FootnoteReference"/>
          <w:rFonts w:eastAsiaTheme="minorHAnsi"/>
          <w:sz w:val="22"/>
        </w:rPr>
        <w:footnoteReference w:id="21"/>
      </w:r>
      <w:r w:rsidRPr="00E80661">
        <w:rPr>
          <w:rFonts w:eastAsiaTheme="minorHAnsi"/>
          <w:szCs w:val="22"/>
        </w:rPr>
        <w:t>, the targeted review of the General Block Exemption Regulation (GBER)</w:t>
      </w:r>
      <w:r w:rsidRPr="00E80661">
        <w:rPr>
          <w:rStyle w:val="FootnoteReference"/>
          <w:rFonts w:eastAsiaTheme="minorHAnsi"/>
          <w:sz w:val="22"/>
        </w:rPr>
        <w:footnoteReference w:id="22"/>
      </w:r>
      <w:r w:rsidRPr="00E80661">
        <w:rPr>
          <w:rFonts w:eastAsiaTheme="minorHAnsi"/>
          <w:szCs w:val="22"/>
        </w:rPr>
        <w:t xml:space="preserve"> and the EU framework on SGEIs. </w:t>
      </w:r>
      <w:r w:rsidRPr="00E80661">
        <w:rPr>
          <w:szCs w:val="22"/>
        </w:rPr>
        <w:t xml:space="preserve"> </w:t>
      </w:r>
    </w:p>
    <w:p w14:paraId="5C55BC4E" w14:textId="0671B044" w:rsidR="00B96369" w:rsidRPr="00E80661" w:rsidRDefault="00B96369" w:rsidP="00644601">
      <w:pPr>
        <w:pStyle w:val="Header"/>
        <w:rPr>
          <w:szCs w:val="22"/>
        </w:rPr>
      </w:pPr>
      <w:r w:rsidRPr="00E80661">
        <w:rPr>
          <w:rFonts w:eastAsiaTheme="minorHAnsi"/>
          <w:szCs w:val="22"/>
        </w:rPr>
        <w:t xml:space="preserve">Regarding the Notice on the Notion of State aid, </w:t>
      </w:r>
      <w:r w:rsidRPr="00E80661">
        <w:rPr>
          <w:szCs w:val="22"/>
        </w:rPr>
        <w:t>several points of the Notice are in line with the CoR opinion</w:t>
      </w:r>
      <w:r w:rsidR="00114B35" w:rsidRPr="00E80661">
        <w:rPr>
          <w:szCs w:val="22"/>
        </w:rPr>
        <w:t>,</w:t>
      </w:r>
      <w:r w:rsidRPr="00E80661">
        <w:rPr>
          <w:szCs w:val="22"/>
        </w:rPr>
        <w:t xml:space="preserve"> namely</w:t>
      </w:r>
      <w:r w:rsidR="00114B35" w:rsidRPr="00E80661">
        <w:rPr>
          <w:szCs w:val="22"/>
        </w:rPr>
        <w:t>:</w:t>
      </w:r>
      <w:r w:rsidRPr="00E80661">
        <w:rPr>
          <w:szCs w:val="22"/>
        </w:rPr>
        <w:t xml:space="preserve"> </w:t>
      </w:r>
    </w:p>
    <w:p w14:paraId="5C55BC4F" w14:textId="47327AB9" w:rsidR="00B96369" w:rsidRPr="00E80661" w:rsidRDefault="00B96369" w:rsidP="00644601">
      <w:pPr>
        <w:pStyle w:val="Header"/>
        <w:numPr>
          <w:ilvl w:val="0"/>
          <w:numId w:val="58"/>
        </w:numPr>
        <w:rPr>
          <w:szCs w:val="22"/>
        </w:rPr>
      </w:pPr>
      <w:r w:rsidRPr="00E80661">
        <w:rPr>
          <w:szCs w:val="22"/>
        </w:rPr>
        <w:t>the recognition of the non-State aid nature of local/municipal infrastructure and local services which</w:t>
      </w:r>
      <w:r w:rsidRPr="00E80661">
        <w:rPr>
          <w:b/>
          <w:szCs w:val="22"/>
        </w:rPr>
        <w:t xml:space="preserve"> </w:t>
      </w:r>
      <w:r w:rsidRPr="00E80661">
        <w:rPr>
          <w:szCs w:val="22"/>
        </w:rPr>
        <w:t>the Commission considers</w:t>
      </w:r>
      <w:r w:rsidRPr="00E80661">
        <w:rPr>
          <w:b/>
          <w:szCs w:val="22"/>
        </w:rPr>
        <w:t xml:space="preserve"> </w:t>
      </w:r>
      <w:r w:rsidRPr="00E80661">
        <w:rPr>
          <w:szCs w:val="22"/>
        </w:rPr>
        <w:t xml:space="preserve">are not capable of affecting trade between Member States even if they are commercially exploited. </w:t>
      </w:r>
    </w:p>
    <w:p w14:paraId="5C55BC50" w14:textId="77777777" w:rsidR="00B96369" w:rsidRPr="00E80661" w:rsidRDefault="00B96369" w:rsidP="00644601">
      <w:pPr>
        <w:pStyle w:val="Header"/>
        <w:ind w:left="720"/>
        <w:rPr>
          <w:szCs w:val="22"/>
        </w:rPr>
      </w:pPr>
    </w:p>
    <w:p w14:paraId="5C55BC51" w14:textId="6E5AF224" w:rsidR="00B96369" w:rsidRPr="00E80661" w:rsidRDefault="00B96369" w:rsidP="00B96369">
      <w:pPr>
        <w:rPr>
          <w:szCs w:val="22"/>
        </w:rPr>
      </w:pPr>
      <w:r w:rsidRPr="00E80661">
        <w:rPr>
          <w:szCs w:val="22"/>
        </w:rPr>
        <w:t>As regards the GBER, the amended Regulation was adopted by the Commission on 17 May 2017</w:t>
      </w:r>
      <w:r w:rsidR="009672C3" w:rsidRPr="00E80661">
        <w:rPr>
          <w:szCs w:val="22"/>
        </w:rPr>
        <w:t>. T</w:t>
      </w:r>
      <w:r w:rsidRPr="00E80661">
        <w:rPr>
          <w:szCs w:val="22"/>
        </w:rPr>
        <w:t xml:space="preserve">he CoR opinion had an impact on </w:t>
      </w:r>
      <w:r w:rsidR="009672C3" w:rsidRPr="00E80661">
        <w:rPr>
          <w:szCs w:val="22"/>
        </w:rPr>
        <w:t>the amended Regulation</w:t>
      </w:r>
      <w:r w:rsidR="009F3213" w:rsidRPr="00E80661">
        <w:rPr>
          <w:szCs w:val="22"/>
        </w:rPr>
        <w:t>,</w:t>
      </w:r>
      <w:r w:rsidR="009672C3" w:rsidRPr="00E80661">
        <w:rPr>
          <w:szCs w:val="22"/>
        </w:rPr>
        <w:t xml:space="preserve"> namely on</w:t>
      </w:r>
      <w:r w:rsidR="009F3213" w:rsidRPr="00E80661">
        <w:rPr>
          <w:szCs w:val="22"/>
        </w:rPr>
        <w:t>:</w:t>
      </w:r>
    </w:p>
    <w:p w14:paraId="5C55BC52" w14:textId="77777777" w:rsidR="00B96369" w:rsidRPr="00E80661" w:rsidRDefault="00B96369" w:rsidP="00644601">
      <w:pPr>
        <w:pStyle w:val="ListParagraph"/>
        <w:numPr>
          <w:ilvl w:val="0"/>
          <w:numId w:val="58"/>
        </w:numPr>
        <w:rPr>
          <w:szCs w:val="22"/>
        </w:rPr>
      </w:pPr>
      <w:r w:rsidRPr="00E80661">
        <w:rPr>
          <w:szCs w:val="22"/>
        </w:rPr>
        <w:t>the number of passengers used as a criterion in order to define very small airports</w:t>
      </w:r>
      <w:r w:rsidRPr="00E80661">
        <w:rPr>
          <w:rStyle w:val="FootnoteReference"/>
          <w:szCs w:val="22"/>
        </w:rPr>
        <w:footnoteReference w:id="23"/>
      </w:r>
      <w:r w:rsidRPr="00E80661">
        <w:rPr>
          <w:szCs w:val="22"/>
        </w:rPr>
        <w:t xml:space="preserve"> (a considerable increase in comparison with the draft proposal) and </w:t>
      </w:r>
    </w:p>
    <w:p w14:paraId="5C55BC53" w14:textId="2D57E5CB" w:rsidR="00B96369" w:rsidRPr="00E80661" w:rsidRDefault="00B96369" w:rsidP="00644601">
      <w:pPr>
        <w:pStyle w:val="ListParagraph"/>
        <w:numPr>
          <w:ilvl w:val="0"/>
          <w:numId w:val="58"/>
        </w:numPr>
        <w:rPr>
          <w:szCs w:val="22"/>
        </w:rPr>
      </w:pPr>
      <w:r w:rsidRPr="00E80661">
        <w:rPr>
          <w:szCs w:val="22"/>
        </w:rPr>
        <w:t>the increase of aid to sports infrastructure and multifunctional recreational infrastructure that is exempt from notification</w:t>
      </w:r>
      <w:r w:rsidRPr="00E80661">
        <w:rPr>
          <w:rStyle w:val="FootnoteReference"/>
          <w:szCs w:val="22"/>
        </w:rPr>
        <w:footnoteReference w:id="24"/>
      </w:r>
      <w:r w:rsidRPr="00E80661">
        <w:rPr>
          <w:szCs w:val="22"/>
        </w:rPr>
        <w:t>.</w:t>
      </w:r>
    </w:p>
    <w:p w14:paraId="5C55BC54" w14:textId="77777777" w:rsidR="00B96369" w:rsidRPr="00E80661" w:rsidRDefault="00B96369" w:rsidP="00B96369">
      <w:pPr>
        <w:rPr>
          <w:szCs w:val="22"/>
        </w:rPr>
      </w:pPr>
    </w:p>
    <w:p w14:paraId="5C55BC55" w14:textId="0C050B3D" w:rsidR="00B96369" w:rsidRPr="00E80661" w:rsidRDefault="00B96369" w:rsidP="00644601">
      <w:pPr>
        <w:pStyle w:val="Header"/>
        <w:rPr>
          <w:szCs w:val="22"/>
        </w:rPr>
      </w:pPr>
      <w:r w:rsidRPr="00E80661">
        <w:rPr>
          <w:rFonts w:eastAsiaTheme="minorHAnsi"/>
          <w:szCs w:val="22"/>
        </w:rPr>
        <w:t xml:space="preserve">On 17 May 2017, </w:t>
      </w:r>
      <w:r w:rsidR="000153C7" w:rsidRPr="00E80661">
        <w:rPr>
          <w:szCs w:val="22"/>
        </w:rPr>
        <w:t xml:space="preserve">the </w:t>
      </w:r>
      <w:r w:rsidRPr="00E80661">
        <w:rPr>
          <w:szCs w:val="22"/>
        </w:rPr>
        <w:t xml:space="preserve">Commissioner for Competition, Margrethe Vestager, sent a letter to the CoR </w:t>
      </w:r>
      <w:r w:rsidR="000153C7" w:rsidRPr="00E80661">
        <w:rPr>
          <w:szCs w:val="22"/>
        </w:rPr>
        <w:t>p</w:t>
      </w:r>
      <w:r w:rsidRPr="00E80661">
        <w:rPr>
          <w:szCs w:val="22"/>
        </w:rPr>
        <w:t xml:space="preserve">resident and the ECON </w:t>
      </w:r>
      <w:r w:rsidR="000153C7" w:rsidRPr="00E80661">
        <w:rPr>
          <w:szCs w:val="22"/>
        </w:rPr>
        <w:t>c</w:t>
      </w:r>
      <w:r w:rsidRPr="00E80661">
        <w:rPr>
          <w:szCs w:val="22"/>
        </w:rPr>
        <w:t xml:space="preserve">hair announcing the adoption of the amended Regulation and presenting the main changes mainly as regards investments in regional airports and ports. </w:t>
      </w:r>
      <w:r w:rsidRPr="00E80661">
        <w:rPr>
          <w:rFonts w:eastAsiaTheme="minorHAnsi"/>
          <w:szCs w:val="22"/>
        </w:rPr>
        <w:t>In rela</w:t>
      </w:r>
      <w:r w:rsidR="000153C7" w:rsidRPr="00E80661">
        <w:rPr>
          <w:rFonts w:eastAsiaTheme="minorHAnsi"/>
          <w:szCs w:val="22"/>
        </w:rPr>
        <w:t>t</w:t>
      </w:r>
      <w:r w:rsidRPr="00E80661">
        <w:rPr>
          <w:rFonts w:eastAsiaTheme="minorHAnsi"/>
          <w:szCs w:val="22"/>
        </w:rPr>
        <w:t>ion to SGEIs, and following the CoR's proposal</w:t>
      </w:r>
      <w:r w:rsidR="007C4C4A" w:rsidRPr="00E80661">
        <w:rPr>
          <w:rFonts w:eastAsiaTheme="minorHAnsi"/>
          <w:szCs w:val="22"/>
        </w:rPr>
        <w:t>,</w:t>
      </w:r>
      <w:r w:rsidRPr="00E80661">
        <w:rPr>
          <w:rFonts w:eastAsiaTheme="minorHAnsi"/>
          <w:szCs w:val="22"/>
        </w:rPr>
        <w:t xml:space="preserve"> </w:t>
      </w:r>
      <w:r w:rsidRPr="00E80661">
        <w:rPr>
          <w:szCs w:val="22"/>
        </w:rPr>
        <w:t xml:space="preserve">the Commission adopted five decisions establishing that five public measures for purely local operations in Spain, Germany and Portugal involved no </w:t>
      </w:r>
      <w:r w:rsidR="00A42BA2">
        <w:rPr>
          <w:szCs w:val="22"/>
        </w:rPr>
        <w:t>S</w:t>
      </w:r>
      <w:r w:rsidRPr="00E80661">
        <w:rPr>
          <w:szCs w:val="22"/>
        </w:rPr>
        <w:t xml:space="preserve">tate aid because they were unlikely to affect trade between Member States. The Commission noted that for these kinds of measures, Member States always have full autonomy to decide and invest state funds and that these decisions also allow Member States to take responsibility </w:t>
      </w:r>
      <w:r w:rsidR="007C4C4A" w:rsidRPr="00E80661">
        <w:rPr>
          <w:szCs w:val="22"/>
        </w:rPr>
        <w:t xml:space="preserve">for </w:t>
      </w:r>
      <w:r w:rsidRPr="00E80661">
        <w:rPr>
          <w:szCs w:val="22"/>
        </w:rPr>
        <w:t>their policy choices for local measures.</w:t>
      </w:r>
    </w:p>
    <w:p w14:paraId="5C55BC56" w14:textId="77777777" w:rsidR="00B96369" w:rsidRPr="00E80661" w:rsidRDefault="00B96369" w:rsidP="00644601">
      <w:pPr>
        <w:pStyle w:val="Header"/>
        <w:rPr>
          <w:szCs w:val="22"/>
        </w:rPr>
      </w:pPr>
      <w:r w:rsidRPr="00E80661">
        <w:rPr>
          <w:szCs w:val="22"/>
        </w:rPr>
        <w:t xml:space="preserve"> </w:t>
      </w:r>
    </w:p>
    <w:p w14:paraId="5C55BC57" w14:textId="3526B7DD" w:rsidR="00B96369" w:rsidRPr="00E80661" w:rsidRDefault="00B96369" w:rsidP="00644601">
      <w:pPr>
        <w:pStyle w:val="PlainText"/>
        <w:spacing w:line="288" w:lineRule="auto"/>
        <w:jc w:val="both"/>
      </w:pPr>
      <w:r w:rsidRPr="00644601">
        <w:rPr>
          <w:rFonts w:ascii="Times New Roman" w:hAnsi="Times New Roman"/>
          <w:lang w:val="en-GB"/>
        </w:rPr>
        <w:t>During a hearing organised by the EP Intergroup on Common Goods and Public Services</w:t>
      </w:r>
      <w:r w:rsidR="000F2106" w:rsidRPr="00E80661">
        <w:rPr>
          <w:rFonts w:ascii="Times New Roman" w:hAnsi="Times New Roman"/>
          <w:lang w:val="en-GB"/>
        </w:rPr>
        <w:t xml:space="preserve">, under the heading </w:t>
      </w:r>
      <w:r w:rsidRPr="00644601">
        <w:rPr>
          <w:rFonts w:ascii="Times New Roman" w:hAnsi="Times New Roman"/>
          <w:lang w:val="en-GB"/>
        </w:rPr>
        <w:t>Social Investment: Time for a (Re)Birth</w:t>
      </w:r>
      <w:r w:rsidR="000F2106" w:rsidRPr="00E80661">
        <w:rPr>
          <w:rFonts w:ascii="Times New Roman" w:hAnsi="Times New Roman"/>
          <w:lang w:val="en-GB"/>
        </w:rPr>
        <w:t>,</w:t>
      </w:r>
      <w:r w:rsidRPr="00644601">
        <w:rPr>
          <w:rFonts w:ascii="Times New Roman" w:hAnsi="Times New Roman"/>
          <w:lang w:val="en-GB"/>
        </w:rPr>
        <w:t xml:space="preserve"> the CoR position on the need to review the definition of social housing was raised. </w:t>
      </w:r>
      <w:r w:rsidRPr="00644601">
        <w:rPr>
          <w:rFonts w:ascii="Times New Roman" w:hAnsi="Times New Roman"/>
          <w:i/>
          <w:lang w:val="en-GB"/>
        </w:rPr>
        <w:t>Housing Europe</w:t>
      </w:r>
      <w:r w:rsidRPr="00644601">
        <w:rPr>
          <w:rFonts w:ascii="Times New Roman" w:hAnsi="Times New Roman"/>
          <w:lang w:val="en-GB"/>
        </w:rPr>
        <w:t xml:space="preserve"> published an article (2 November 2016) presenting the CoR opinion and analysing the relevant points for the housing sector.</w:t>
      </w:r>
    </w:p>
    <w:p w14:paraId="5C55BC58" w14:textId="6149F1A7" w:rsidR="00684760" w:rsidRPr="00E80661" w:rsidRDefault="00684760">
      <w:pPr>
        <w:overflowPunct/>
        <w:autoSpaceDE/>
        <w:autoSpaceDN/>
        <w:adjustRightInd/>
        <w:spacing w:line="240" w:lineRule="auto"/>
        <w:jc w:val="left"/>
        <w:textAlignment w:val="auto"/>
      </w:pPr>
      <w:r w:rsidRPr="00E80661">
        <w:br w:type="page"/>
      </w:r>
    </w:p>
    <w:p w14:paraId="5C55BC5A" w14:textId="77777777" w:rsidR="00383150" w:rsidRPr="00E80661" w:rsidRDefault="00383150">
      <w:pPr>
        <w:pStyle w:val="Heading1"/>
        <w:rPr>
          <w:b/>
          <w:szCs w:val="22"/>
        </w:rPr>
      </w:pPr>
      <w:bookmarkStart w:id="23" w:name="_Toc386201051"/>
      <w:bookmarkEnd w:id="14"/>
      <w:bookmarkEnd w:id="15"/>
      <w:bookmarkEnd w:id="16"/>
      <w:bookmarkEnd w:id="17"/>
      <w:r w:rsidRPr="00E80661">
        <w:rPr>
          <w:b/>
          <w:szCs w:val="22"/>
        </w:rPr>
        <w:t xml:space="preserve"> </w:t>
      </w:r>
      <w:bookmarkStart w:id="24" w:name="_Toc418860746"/>
      <w:bookmarkStart w:id="25" w:name="_Toc486243276"/>
      <w:bookmarkStart w:id="26" w:name="_Toc485373828"/>
      <w:r w:rsidRPr="00E80661">
        <w:rPr>
          <w:b/>
          <w:szCs w:val="22"/>
        </w:rPr>
        <w:t>Regional policy</w:t>
      </w:r>
      <w:bookmarkEnd w:id="23"/>
      <w:bookmarkEnd w:id="24"/>
      <w:r w:rsidRPr="00E80661">
        <w:rPr>
          <w:b/>
          <w:szCs w:val="22"/>
        </w:rPr>
        <w:t xml:space="preserve"> </w:t>
      </w:r>
      <w:r w:rsidR="001504FA" w:rsidRPr="00E80661">
        <w:rPr>
          <w:b/>
          <w:szCs w:val="22"/>
        </w:rPr>
        <w:t>and EU budget</w:t>
      </w:r>
      <w:bookmarkEnd w:id="25"/>
      <w:bookmarkEnd w:id="26"/>
    </w:p>
    <w:p w14:paraId="5C55BC5B" w14:textId="77777777" w:rsidR="00383150" w:rsidRPr="00E80661" w:rsidRDefault="00383150" w:rsidP="005B2CFF">
      <w:pPr>
        <w:rPr>
          <w:szCs w:val="22"/>
        </w:rPr>
      </w:pPr>
    </w:p>
    <w:p w14:paraId="5C55BC5C" w14:textId="77777777" w:rsidR="00932EC4" w:rsidRPr="00E80661" w:rsidRDefault="00730E56" w:rsidP="005B2CFF">
      <w:pPr>
        <w:pStyle w:val="Heading2"/>
        <w:ind w:left="0" w:firstLine="0"/>
        <w:rPr>
          <w:b/>
        </w:rPr>
      </w:pPr>
      <w:bookmarkStart w:id="27" w:name="_Toc486243277"/>
      <w:bookmarkStart w:id="28" w:name="_Toc485373829"/>
      <w:bookmarkStart w:id="29" w:name="_Toc386201053"/>
      <w:r w:rsidRPr="00E80661">
        <w:rPr>
          <w:b/>
        </w:rPr>
        <w:t>Investment Plan for Europe</w:t>
      </w:r>
      <w:bookmarkEnd w:id="27"/>
      <w:bookmarkEnd w:id="28"/>
    </w:p>
    <w:p w14:paraId="5C55BC5D" w14:textId="77777777" w:rsidR="00932EC4" w:rsidRPr="00E80661" w:rsidRDefault="00932EC4" w:rsidP="00932EC4"/>
    <w:tbl>
      <w:tblPr>
        <w:tblStyle w:val="TableGrid"/>
        <w:tblW w:w="0" w:type="auto"/>
        <w:shd w:val="clear" w:color="auto" w:fill="BFBFBF" w:themeFill="background1" w:themeFillShade="BF"/>
        <w:tblLook w:val="04A0" w:firstRow="1" w:lastRow="0" w:firstColumn="1" w:lastColumn="0" w:noHBand="0" w:noVBand="1"/>
      </w:tblPr>
      <w:tblGrid>
        <w:gridCol w:w="9242"/>
      </w:tblGrid>
      <w:tr w:rsidR="002334FB" w:rsidRPr="00E80661" w14:paraId="5C55BC64" w14:textId="77777777" w:rsidTr="00471354">
        <w:tc>
          <w:tcPr>
            <w:tcW w:w="9242" w:type="dxa"/>
            <w:shd w:val="clear" w:color="auto" w:fill="BFBFBF" w:themeFill="background1" w:themeFillShade="BF"/>
          </w:tcPr>
          <w:p w14:paraId="5C55BC5E" w14:textId="77777777" w:rsidR="002334FB" w:rsidRPr="00E80661" w:rsidRDefault="002334FB" w:rsidP="002334FB">
            <w:pPr>
              <w:rPr>
                <w:color w:val="000000"/>
              </w:rPr>
            </w:pPr>
            <w:r w:rsidRPr="00E80661">
              <w:rPr>
                <w:color w:val="000000"/>
              </w:rPr>
              <w:t>The proposal for a Regulation of the European Parliament and of the Council amending Regulations (EU) No 1316/2013 and (EU) 2015/1017 as regards the extension of the duration of the European Fund for Strategic Investments as well as the introduction of technical enhancements for that Fund and the European Investment Advisory Hub</w:t>
            </w:r>
            <w:r w:rsidR="008B1960" w:rsidRPr="00E80661">
              <w:rPr>
                <w:color w:val="000000"/>
              </w:rPr>
              <w:t xml:space="preserve"> (EIAH)</w:t>
            </w:r>
            <w:r w:rsidRPr="00644601">
              <w:rPr>
                <w:color w:val="000000"/>
              </w:rPr>
              <w:footnoteReference w:id="25"/>
            </w:r>
            <w:r w:rsidRPr="00E80661">
              <w:rPr>
                <w:i/>
                <w:color w:val="000000"/>
                <w:vertAlign w:val="superscript"/>
              </w:rPr>
              <w:t xml:space="preserve"> </w:t>
            </w:r>
            <w:r w:rsidRPr="00E80661">
              <w:rPr>
                <w:color w:val="000000"/>
              </w:rPr>
              <w:t xml:space="preserve">takes on board several CoR recommendations from the opinion on </w:t>
            </w:r>
            <w:r w:rsidRPr="00E80661">
              <w:rPr>
                <w:b/>
                <w:color w:val="000000"/>
              </w:rPr>
              <w:t>Investment Plan and European Fund for Strategic Investments</w:t>
            </w:r>
            <w:r w:rsidRPr="00644601">
              <w:rPr>
                <w:color w:val="000000"/>
              </w:rPr>
              <w:footnoteReference w:id="26"/>
            </w:r>
            <w:r w:rsidRPr="00E80661">
              <w:rPr>
                <w:color w:val="000000"/>
              </w:rPr>
              <w:t>, such as:</w:t>
            </w:r>
          </w:p>
          <w:p w14:paraId="5C55BC5F" w14:textId="77777777" w:rsidR="002334FB" w:rsidRPr="00E80661" w:rsidRDefault="002334FB" w:rsidP="00644601">
            <w:pPr>
              <w:numPr>
                <w:ilvl w:val="0"/>
                <w:numId w:val="27"/>
              </w:numPr>
              <w:rPr>
                <w:color w:val="000000"/>
              </w:rPr>
            </w:pPr>
            <w:r w:rsidRPr="00E80661">
              <w:rPr>
                <w:color w:val="000000"/>
              </w:rPr>
              <w:t>a further reinforcement of the additionality principle by better defining projects that are additional, including cross-border infrastructure projects;</w:t>
            </w:r>
          </w:p>
          <w:p w14:paraId="5C55BC60" w14:textId="29686FAE" w:rsidR="002334FB" w:rsidRPr="00E80661" w:rsidRDefault="002334FB" w:rsidP="00644601">
            <w:pPr>
              <w:numPr>
                <w:ilvl w:val="0"/>
                <w:numId w:val="27"/>
              </w:numPr>
              <w:rPr>
                <w:color w:val="000000"/>
              </w:rPr>
            </w:pPr>
            <w:r w:rsidRPr="00E80661">
              <w:rPr>
                <w:color w:val="000000"/>
              </w:rPr>
              <w:t xml:space="preserve">in order to finance the increase in the financial capacity of EFSI, the Commission suggested </w:t>
            </w:r>
            <w:r w:rsidR="00686DD9">
              <w:rPr>
                <w:color w:val="000000"/>
              </w:rPr>
              <w:t>using</w:t>
            </w:r>
            <w:r w:rsidRPr="00E80661">
              <w:rPr>
                <w:color w:val="000000"/>
              </w:rPr>
              <w:t xml:space="preserve"> the reimbursed costs of EIB operations paid out by the beneficiaries, and the available resources from the unallocated margin; </w:t>
            </w:r>
          </w:p>
          <w:p w14:paraId="5C55BC61" w14:textId="77777777" w:rsidR="002334FB" w:rsidRPr="00E80661" w:rsidRDefault="002334FB" w:rsidP="00644601">
            <w:pPr>
              <w:numPr>
                <w:ilvl w:val="0"/>
                <w:numId w:val="27"/>
              </w:numPr>
              <w:rPr>
                <w:color w:val="000000"/>
              </w:rPr>
            </w:pPr>
            <w:r w:rsidRPr="00E80661">
              <w:rPr>
                <w:color w:val="000000"/>
              </w:rPr>
              <w:t>a further strengthening of the advisory services of EIAH;</w:t>
            </w:r>
          </w:p>
          <w:p w14:paraId="5C55BC62" w14:textId="26912A3F" w:rsidR="002334FB" w:rsidRPr="00E80661" w:rsidRDefault="002334FB" w:rsidP="00644601">
            <w:pPr>
              <w:numPr>
                <w:ilvl w:val="0"/>
                <w:numId w:val="27"/>
              </w:numPr>
              <w:rPr>
                <w:color w:val="000000"/>
              </w:rPr>
            </w:pPr>
            <w:r w:rsidRPr="00E80661">
              <w:rPr>
                <w:color w:val="000000"/>
              </w:rPr>
              <w:t xml:space="preserve">the extended EFSI should address remaining market failures and sub-optimal investment situations in other sectors and areas, such as climate change, research and innovation, cross-border and sustainable transport, </w:t>
            </w:r>
            <w:r w:rsidR="005253A4" w:rsidRPr="00E80661">
              <w:rPr>
                <w:color w:val="000000"/>
              </w:rPr>
              <w:t>and</w:t>
            </w:r>
            <w:r w:rsidRPr="00E80661">
              <w:rPr>
                <w:color w:val="000000"/>
              </w:rPr>
              <w:t xml:space="preserve"> the digital transformation;</w:t>
            </w:r>
          </w:p>
          <w:p w14:paraId="5C55BC63" w14:textId="380578DA" w:rsidR="002334FB" w:rsidRPr="00E80661" w:rsidRDefault="002334FB" w:rsidP="00644601">
            <w:pPr>
              <w:numPr>
                <w:ilvl w:val="0"/>
                <w:numId w:val="27"/>
              </w:numPr>
              <w:rPr>
                <w:color w:val="000000"/>
              </w:rPr>
            </w:pPr>
            <w:r w:rsidRPr="00E80661">
              <w:rPr>
                <w:color w:val="000000"/>
              </w:rPr>
              <w:t xml:space="preserve">a reinforcement of the </w:t>
            </w:r>
            <w:r w:rsidR="00CD4CBE" w:rsidRPr="00E80661">
              <w:rPr>
                <w:color w:val="000000"/>
              </w:rPr>
              <w:t>up</w:t>
            </w:r>
            <w:r w:rsidRPr="00E80661">
              <w:rPr>
                <w:color w:val="000000"/>
              </w:rPr>
              <w:t xml:space="preserve">take of EFSI in less-developed and transition regions: easier combination of other sources of </w:t>
            </w:r>
            <w:r w:rsidR="00CD4CBE" w:rsidRPr="00E80661">
              <w:rPr>
                <w:color w:val="000000"/>
              </w:rPr>
              <w:t xml:space="preserve">EU </w:t>
            </w:r>
            <w:r w:rsidRPr="00E80661">
              <w:rPr>
                <w:color w:val="000000"/>
              </w:rPr>
              <w:t>funding such as ESIF, Horizon 2020 and CEF with EFSI support has been put forward.</w:t>
            </w:r>
          </w:p>
        </w:tc>
      </w:tr>
    </w:tbl>
    <w:p w14:paraId="5C55BC65" w14:textId="77777777" w:rsidR="00932EC4" w:rsidRPr="00E80661" w:rsidRDefault="00932EC4" w:rsidP="00644601">
      <w:pPr>
        <w:pStyle w:val="ListParagraph"/>
        <w:overflowPunct/>
        <w:autoSpaceDE/>
        <w:autoSpaceDN/>
        <w:adjustRightInd/>
        <w:ind w:left="426"/>
        <w:contextualSpacing/>
        <w:textAlignment w:val="auto"/>
      </w:pPr>
    </w:p>
    <w:p w14:paraId="5C55BC66" w14:textId="77777777" w:rsidR="00074215" w:rsidRPr="00E80661" w:rsidRDefault="00991486" w:rsidP="005B2CFF">
      <w:pPr>
        <w:pStyle w:val="Heading2"/>
        <w:ind w:left="0" w:firstLine="0"/>
        <w:rPr>
          <w:b/>
          <w:szCs w:val="22"/>
        </w:rPr>
      </w:pPr>
      <w:bookmarkStart w:id="30" w:name="_Toc486243278"/>
      <w:bookmarkStart w:id="31" w:name="_Toc485373830"/>
      <w:r w:rsidRPr="00E80661">
        <w:rPr>
          <w:b/>
          <w:szCs w:val="22"/>
        </w:rPr>
        <w:t>Simplification of ESIF</w:t>
      </w:r>
      <w:bookmarkEnd w:id="30"/>
      <w:bookmarkEnd w:id="31"/>
    </w:p>
    <w:p w14:paraId="5C55BC67" w14:textId="77777777" w:rsidR="00AF2A40" w:rsidRPr="00E80661" w:rsidRDefault="00AF2A40" w:rsidP="00074215">
      <w:pPr>
        <w:rPr>
          <w:b/>
        </w:rPr>
      </w:pPr>
    </w:p>
    <w:p w14:paraId="5C55BC68" w14:textId="4675BF44" w:rsidR="0020417A" w:rsidRPr="00E80661" w:rsidRDefault="00FD2F62" w:rsidP="00FD2F62">
      <w:r w:rsidRPr="00E80661">
        <w:t>In prepar</w:t>
      </w:r>
      <w:r w:rsidR="00CD4CBE" w:rsidRPr="00E80661">
        <w:t xml:space="preserve">ing </w:t>
      </w:r>
      <w:r w:rsidR="00660565" w:rsidRPr="00E80661">
        <w:t xml:space="preserve">the </w:t>
      </w:r>
      <w:r w:rsidRPr="00E80661">
        <w:t xml:space="preserve">opinion </w:t>
      </w:r>
      <w:r w:rsidR="00660565" w:rsidRPr="00E80661">
        <w:t xml:space="preserve">on </w:t>
      </w:r>
      <w:r w:rsidR="00660565" w:rsidRPr="00E80661">
        <w:rPr>
          <w:b/>
        </w:rPr>
        <w:t>Simplification of ESIF from the perspective of Local and Regional Authorities</w:t>
      </w:r>
      <w:r w:rsidR="008166C4" w:rsidRPr="00E80661">
        <w:rPr>
          <w:rStyle w:val="FootnoteReference"/>
        </w:rPr>
        <w:footnoteReference w:id="27"/>
      </w:r>
      <w:r w:rsidR="00660565" w:rsidRPr="00E80661">
        <w:t xml:space="preserve">, </w:t>
      </w:r>
      <w:r w:rsidRPr="00E80661">
        <w:t xml:space="preserve">the CoR and the Dutch and Slovak Presidencies of the Council organised three joint workshops on simplification of the implementation of </w:t>
      </w:r>
      <w:r w:rsidR="00CD4CBE" w:rsidRPr="00E80661">
        <w:t>c</w:t>
      </w:r>
      <w:r w:rsidRPr="00E80661">
        <w:t xml:space="preserve">ohesion policy </w:t>
      </w:r>
      <w:r w:rsidR="00A016F9" w:rsidRPr="00E80661">
        <w:t>which</w:t>
      </w:r>
      <w:r w:rsidRPr="00E80661">
        <w:t xml:space="preserve"> resulted in </w:t>
      </w:r>
      <w:r w:rsidR="00D66AFE" w:rsidRPr="00E80661">
        <w:t xml:space="preserve">two </w:t>
      </w:r>
      <w:r w:rsidRPr="00E80661">
        <w:t>report</w:t>
      </w:r>
      <w:r w:rsidR="00D66AFE" w:rsidRPr="00E80661">
        <w:t>s</w:t>
      </w:r>
      <w:r w:rsidRPr="00E80661">
        <w:t xml:space="preserve"> including proposals for simplification</w:t>
      </w:r>
      <w:r w:rsidR="00D66AFE" w:rsidRPr="00E80661">
        <w:t xml:space="preserve"> which were endorsed by the CoR opinion and turned into political messages</w:t>
      </w:r>
      <w:r w:rsidRPr="00E80661">
        <w:t xml:space="preserve">. </w:t>
      </w:r>
    </w:p>
    <w:p w14:paraId="5C55BC69" w14:textId="77777777" w:rsidR="0020417A" w:rsidRPr="00E80661" w:rsidRDefault="0020417A" w:rsidP="00FD2F62"/>
    <w:p w14:paraId="5C55BC6A" w14:textId="1F4CE0DA" w:rsidR="00FD2F62" w:rsidRPr="00E80661" w:rsidRDefault="00E80661" w:rsidP="00FD2F62">
      <w:r w:rsidRPr="00E80661">
        <w:t>EU Member States explicitly welcomed the CoR's work on the simplification of cohesion policy, which was noted in the Council conclusions of 10 June 2016 on "A more R&amp;I friendly, smart and simple Cohesion Policy and the European Structural and Investment Funds more generally"</w:t>
      </w:r>
      <w:r w:rsidRPr="00E80661">
        <w:rPr>
          <w:rStyle w:val="FootnoteReference"/>
        </w:rPr>
        <w:footnoteReference w:id="28"/>
      </w:r>
      <w:r w:rsidRPr="00E80661">
        <w:t xml:space="preserve">: "The Council of the European Union […] </w:t>
      </w:r>
      <w:r w:rsidRPr="00E80661">
        <w:rPr>
          <w:sz w:val="23"/>
          <w:szCs w:val="23"/>
        </w:rPr>
        <w:t>welcomes the debate within the informal technical workshops on simplification jointly organised by the Netherlands Presidency and the Committee of the Regions".</w:t>
      </w:r>
    </w:p>
    <w:p w14:paraId="5C55BC6B" w14:textId="77777777" w:rsidR="00765CAB" w:rsidRPr="00E80661" w:rsidRDefault="00765CAB" w:rsidP="00FD2F62"/>
    <w:p w14:paraId="5C55BC6C" w14:textId="515CBA61" w:rsidR="00440352" w:rsidRPr="00E80661" w:rsidRDefault="00991486" w:rsidP="00644601">
      <w:pPr>
        <w:pStyle w:val="ListParagraph"/>
        <w:overflowPunct/>
        <w:autoSpaceDE/>
        <w:autoSpaceDN/>
        <w:adjustRightInd/>
        <w:ind w:left="66"/>
        <w:contextualSpacing/>
        <w:textAlignment w:val="auto"/>
      </w:pPr>
      <w:r w:rsidRPr="00E80661">
        <w:t xml:space="preserve">The European Commission also acted on the policy recommendations of the CoR. During the second annual conference on the </w:t>
      </w:r>
      <w:r w:rsidRPr="00E80661">
        <w:rPr>
          <w:i/>
        </w:rPr>
        <w:t>EU Budget Focused on Results</w:t>
      </w:r>
      <w:r w:rsidRPr="00E80661">
        <w:t xml:space="preserve"> </w:t>
      </w:r>
      <w:r w:rsidR="00554434" w:rsidRPr="00E80661">
        <w:t xml:space="preserve">held </w:t>
      </w:r>
      <w:r w:rsidRPr="00E80661">
        <w:t xml:space="preserve">on 27 September 2016, the European Commission Director-General for Budgets </w:t>
      </w:r>
      <w:r w:rsidR="007B5D26" w:rsidRPr="00E80661">
        <w:t>considered</w:t>
      </w:r>
      <w:r w:rsidRPr="00E80661">
        <w:t xml:space="preserve"> this opinion </w:t>
      </w:r>
      <w:r w:rsidR="00554434" w:rsidRPr="00E80661">
        <w:t xml:space="preserve">to be </w:t>
      </w:r>
      <w:r w:rsidRPr="00E80661">
        <w:t xml:space="preserve">one of the most valuable </w:t>
      </w:r>
      <w:r w:rsidR="00440352" w:rsidRPr="00E80661">
        <w:t xml:space="preserve">sources of </w:t>
      </w:r>
      <w:r w:rsidRPr="00E80661">
        <w:t xml:space="preserve">input received in view of the preparations </w:t>
      </w:r>
      <w:r w:rsidR="00683DFB">
        <w:t>leading up</w:t>
      </w:r>
      <w:r w:rsidR="00554434" w:rsidRPr="00E80661">
        <w:t xml:space="preserve"> to </w:t>
      </w:r>
      <w:r w:rsidRPr="00E80661">
        <w:t>the Omnibus proposal</w:t>
      </w:r>
      <w:r w:rsidRPr="00E80661">
        <w:rPr>
          <w:rStyle w:val="FootnoteReference"/>
        </w:rPr>
        <w:footnoteReference w:id="29"/>
      </w:r>
      <w:r w:rsidRPr="00E80661">
        <w:t xml:space="preserve">. Elements suggested in the CoR opinion </w:t>
      </w:r>
      <w:r w:rsidR="00554434" w:rsidRPr="00E80661">
        <w:t xml:space="preserve">that </w:t>
      </w:r>
      <w:r w:rsidRPr="00E80661">
        <w:t>are addressed by the aforementioned legislative proposal include</w:t>
      </w:r>
      <w:r w:rsidR="007F2606" w:rsidRPr="00E80661">
        <w:t xml:space="preserve"> the CoR proposals related to</w:t>
      </w:r>
      <w:r w:rsidR="00440352" w:rsidRPr="00E80661">
        <w:t>:</w:t>
      </w:r>
    </w:p>
    <w:p w14:paraId="5C55BC6D" w14:textId="07913148" w:rsidR="00440352" w:rsidRPr="00E80661" w:rsidRDefault="00991486" w:rsidP="00644601">
      <w:pPr>
        <w:pStyle w:val="ListParagraph"/>
        <w:numPr>
          <w:ilvl w:val="0"/>
          <w:numId w:val="59"/>
        </w:numPr>
        <w:overflowPunct/>
        <w:autoSpaceDE/>
        <w:autoSpaceDN/>
        <w:adjustRightInd/>
        <w:contextualSpacing/>
        <w:textAlignment w:val="auto"/>
      </w:pPr>
      <w:r w:rsidRPr="00E80661">
        <w:t>financial instruments</w:t>
      </w:r>
      <w:r w:rsidR="00440352" w:rsidRPr="00E80661">
        <w:t>:</w:t>
      </w:r>
      <w:r w:rsidR="00554434" w:rsidRPr="00E80661">
        <w:t xml:space="preserve"> </w:t>
      </w:r>
      <w:r w:rsidR="00440352" w:rsidRPr="00E80661">
        <w:t xml:space="preserve">direct appointment of financial intermediaries under certain circumstances; </w:t>
      </w:r>
    </w:p>
    <w:p w14:paraId="5C55BC6E" w14:textId="77777777" w:rsidR="00440352" w:rsidRPr="00E80661" w:rsidRDefault="00440352" w:rsidP="00644601">
      <w:pPr>
        <w:pStyle w:val="ListParagraph"/>
        <w:numPr>
          <w:ilvl w:val="0"/>
          <w:numId w:val="59"/>
        </w:numPr>
        <w:overflowPunct/>
        <w:autoSpaceDE/>
        <w:autoSpaceDN/>
        <w:adjustRightInd/>
        <w:contextualSpacing/>
        <w:textAlignment w:val="auto"/>
      </w:pPr>
      <w:r w:rsidRPr="00E80661">
        <w:t xml:space="preserve">auditing and reporting requirements: single audit system; </w:t>
      </w:r>
    </w:p>
    <w:p w14:paraId="5C55BC6F" w14:textId="77777777" w:rsidR="00440352" w:rsidRPr="00E80661" w:rsidRDefault="00440352" w:rsidP="00644601">
      <w:pPr>
        <w:pStyle w:val="ListParagraph"/>
        <w:numPr>
          <w:ilvl w:val="0"/>
          <w:numId w:val="59"/>
        </w:numPr>
        <w:overflowPunct/>
        <w:autoSpaceDE/>
        <w:autoSpaceDN/>
        <w:adjustRightInd/>
        <w:contextualSpacing/>
        <w:textAlignment w:val="auto"/>
      </w:pPr>
      <w:r w:rsidRPr="00E80661">
        <w:t xml:space="preserve">simplified cost options: clarifications and reinforcement for more streamlined audit; </w:t>
      </w:r>
    </w:p>
    <w:p w14:paraId="5C55BC71" w14:textId="6D670CE7" w:rsidR="00765CAB" w:rsidRPr="00E80661" w:rsidRDefault="00440352" w:rsidP="00644601">
      <w:pPr>
        <w:pStyle w:val="ListParagraph"/>
        <w:numPr>
          <w:ilvl w:val="0"/>
          <w:numId w:val="59"/>
        </w:numPr>
        <w:overflowPunct/>
        <w:autoSpaceDE/>
        <w:autoSpaceDN/>
        <w:adjustRightInd/>
        <w:contextualSpacing/>
        <w:textAlignment w:val="auto"/>
      </w:pPr>
      <w:r w:rsidRPr="00E80661">
        <w:t xml:space="preserve">Joint Action Plans: measures to encourage uptake of </w:t>
      </w:r>
      <w:r w:rsidR="00554DC1" w:rsidRPr="00E80661">
        <w:t xml:space="preserve">tools </w:t>
      </w:r>
      <w:r w:rsidRPr="00E80661">
        <w:t>facilitating integrated territorial development.</w:t>
      </w:r>
    </w:p>
    <w:p w14:paraId="5C55BC72" w14:textId="77777777" w:rsidR="00991486" w:rsidRPr="00E80661" w:rsidRDefault="00991486" w:rsidP="00765CAB"/>
    <w:p w14:paraId="5C55BC73" w14:textId="77777777" w:rsidR="00EE68F1" w:rsidRPr="00E80661" w:rsidRDefault="00EE68F1" w:rsidP="009B02C0">
      <w:pPr>
        <w:pStyle w:val="Heading2"/>
        <w:rPr>
          <w:b/>
          <w:szCs w:val="22"/>
        </w:rPr>
      </w:pPr>
      <w:bookmarkStart w:id="32" w:name="_Toc486243279"/>
      <w:bookmarkStart w:id="33" w:name="_Toc485373831"/>
      <w:r w:rsidRPr="00E80661">
        <w:rPr>
          <w:b/>
          <w:szCs w:val="22"/>
        </w:rPr>
        <w:t>EU Budget</w:t>
      </w:r>
      <w:bookmarkEnd w:id="32"/>
      <w:bookmarkEnd w:id="33"/>
    </w:p>
    <w:p w14:paraId="5C55BC74" w14:textId="77777777" w:rsidR="00726B07" w:rsidRPr="00E80661" w:rsidRDefault="00726B07" w:rsidP="00726B07"/>
    <w:p w14:paraId="5C55BC75" w14:textId="292EC830" w:rsidR="00726B07" w:rsidRPr="00E80661" w:rsidRDefault="006C695C" w:rsidP="00726B07">
      <w:r w:rsidRPr="00E80661">
        <w:t xml:space="preserve">In his Recommendation for </w:t>
      </w:r>
      <w:r w:rsidR="000441E0">
        <w:t xml:space="preserve">a </w:t>
      </w:r>
      <w:r w:rsidRPr="00E80661">
        <w:t>Mandate for Trilogue</w:t>
      </w:r>
      <w:r w:rsidR="008B1960" w:rsidRPr="00E80661">
        <w:t xml:space="preserve"> </w:t>
      </w:r>
      <w:r w:rsidR="00C8449B" w:rsidRPr="00E80661">
        <w:t>on the 2017 draft budget</w:t>
      </w:r>
      <w:r w:rsidRPr="00E80661">
        <w:t xml:space="preserve">, the </w:t>
      </w:r>
      <w:r w:rsidR="00726B07" w:rsidRPr="00E80661">
        <w:t xml:space="preserve">European Parliament's rapporteur </w:t>
      </w:r>
      <w:r w:rsidRPr="00E80661">
        <w:t>on the EU Budget for 2017</w:t>
      </w:r>
      <w:r w:rsidR="00726B07" w:rsidRPr="00E80661">
        <w:t xml:space="preserve"> </w:t>
      </w:r>
      <w:r w:rsidR="00B51F33" w:rsidRPr="00E80661">
        <w:t xml:space="preserve">stressed </w:t>
      </w:r>
      <w:r w:rsidR="00726B07" w:rsidRPr="00E80661">
        <w:t xml:space="preserve">several points, </w:t>
      </w:r>
      <w:r w:rsidR="00B51F33" w:rsidRPr="00E80661">
        <w:t xml:space="preserve">also </w:t>
      </w:r>
      <w:r w:rsidR="00726B07" w:rsidRPr="00E80661">
        <w:t xml:space="preserve">highlighted by the </w:t>
      </w:r>
      <w:r w:rsidRPr="00E80661">
        <w:t>CoR</w:t>
      </w:r>
      <w:r w:rsidR="00B51F33" w:rsidRPr="00E80661">
        <w:t>'s</w:t>
      </w:r>
      <w:r w:rsidRPr="00E80661">
        <w:t xml:space="preserve"> </w:t>
      </w:r>
      <w:r w:rsidRPr="00E80661">
        <w:rPr>
          <w:b/>
        </w:rPr>
        <w:t>Resolution on the Draft Annual EU Budget for 2017</w:t>
      </w:r>
      <w:r w:rsidR="00F95D41" w:rsidRPr="000441E0">
        <w:rPr>
          <w:rStyle w:val="FootnoteReference"/>
          <w:b/>
        </w:rPr>
        <w:footnoteReference w:id="30"/>
      </w:r>
      <w:r w:rsidR="00F95D41" w:rsidRPr="000441E0">
        <w:t>,</w:t>
      </w:r>
      <w:r w:rsidR="00726B07" w:rsidRPr="000441E0">
        <w:t xml:space="preserve"> </w:t>
      </w:r>
      <w:r w:rsidR="00D66AFE" w:rsidRPr="00E80661">
        <w:t xml:space="preserve">and which </w:t>
      </w:r>
      <w:r w:rsidR="00B51F33" w:rsidRPr="00E80661">
        <w:t>were also included in</w:t>
      </w:r>
      <w:r w:rsidR="00D66AFE" w:rsidRPr="00E80661">
        <w:t xml:space="preserve"> the </w:t>
      </w:r>
      <w:r w:rsidR="00D66AFE" w:rsidRPr="00E80661">
        <w:rPr>
          <w:b/>
        </w:rPr>
        <w:t>final adopted EU Budget for 2017</w:t>
      </w:r>
      <w:r w:rsidR="00D66AFE" w:rsidRPr="00E80661">
        <w:t>, such as</w:t>
      </w:r>
      <w:r w:rsidR="00726B07" w:rsidRPr="00E80661">
        <w:t>:</w:t>
      </w:r>
    </w:p>
    <w:p w14:paraId="5C55BC76" w14:textId="013989EB" w:rsidR="00726B07" w:rsidRPr="00E80661" w:rsidRDefault="00726B07" w:rsidP="00644601">
      <w:pPr>
        <w:pStyle w:val="ListParagraph"/>
        <w:numPr>
          <w:ilvl w:val="0"/>
          <w:numId w:val="28"/>
        </w:numPr>
        <w:overflowPunct/>
        <w:autoSpaceDE/>
        <w:autoSpaceDN/>
        <w:adjustRightInd/>
        <w:ind w:left="426" w:firstLine="0"/>
        <w:contextualSpacing/>
        <w:textAlignment w:val="auto"/>
      </w:pPr>
      <w:r w:rsidRPr="00E80661">
        <w:t>support for meeting the EU's objectives in the field of research and innovation;</w:t>
      </w:r>
    </w:p>
    <w:p w14:paraId="5C55BC77" w14:textId="4DAB36E1" w:rsidR="00726B07" w:rsidRPr="00E80661" w:rsidRDefault="00726B07" w:rsidP="00644601">
      <w:pPr>
        <w:pStyle w:val="ListParagraph"/>
        <w:numPr>
          <w:ilvl w:val="0"/>
          <w:numId w:val="28"/>
        </w:numPr>
        <w:overflowPunct/>
        <w:autoSpaceDE/>
        <w:autoSpaceDN/>
        <w:adjustRightInd/>
        <w:ind w:left="426" w:firstLine="0"/>
        <w:contextualSpacing/>
        <w:textAlignment w:val="auto"/>
      </w:pPr>
      <w:r w:rsidRPr="00E80661">
        <w:t>a need for additional financial resources for the milk, pig meat and fruit and vegetable sector</w:t>
      </w:r>
      <w:r w:rsidR="00B51F33" w:rsidRPr="00E80661">
        <w:t>s</w:t>
      </w:r>
      <w:r w:rsidRPr="00E80661">
        <w:t>;</w:t>
      </w:r>
    </w:p>
    <w:p w14:paraId="5C55BC78" w14:textId="408EB5E6" w:rsidR="00726B07" w:rsidRPr="00E80661" w:rsidRDefault="00726B07" w:rsidP="00644601">
      <w:pPr>
        <w:pStyle w:val="ListParagraph"/>
        <w:numPr>
          <w:ilvl w:val="0"/>
          <w:numId w:val="28"/>
        </w:numPr>
        <w:overflowPunct/>
        <w:autoSpaceDE/>
        <w:autoSpaceDN/>
        <w:adjustRightInd/>
        <w:ind w:left="709" w:hanging="283"/>
        <w:contextualSpacing/>
        <w:textAlignment w:val="auto"/>
      </w:pPr>
      <w:r w:rsidRPr="00E80661">
        <w:t xml:space="preserve">the use of the </w:t>
      </w:r>
      <w:r w:rsidR="00B51F33" w:rsidRPr="00E80661">
        <w:t>c</w:t>
      </w:r>
      <w:r w:rsidRPr="00E80661">
        <w:t xml:space="preserve">ohesion </w:t>
      </w:r>
      <w:r w:rsidR="00B51F33" w:rsidRPr="00E80661">
        <w:t>p</w:t>
      </w:r>
      <w:r w:rsidRPr="00E80661">
        <w:t>olicy-related technical adjustments for tackling the migration crisis and youth unemployment;</w:t>
      </w:r>
    </w:p>
    <w:p w14:paraId="5C55BC79" w14:textId="77777777" w:rsidR="00726B07" w:rsidRPr="00E80661" w:rsidRDefault="00726B07" w:rsidP="00644601">
      <w:pPr>
        <w:pStyle w:val="ListParagraph"/>
        <w:numPr>
          <w:ilvl w:val="0"/>
          <w:numId w:val="28"/>
        </w:numPr>
        <w:overflowPunct/>
        <w:autoSpaceDE/>
        <w:autoSpaceDN/>
        <w:adjustRightInd/>
        <w:ind w:left="709" w:hanging="283"/>
        <w:contextualSpacing/>
        <w:textAlignment w:val="auto"/>
      </w:pPr>
      <w:r w:rsidRPr="00E80661">
        <w:t>the urgency of fully offsetting and restoring original Horizon 2020 and CEF budget lines, affected by the creation of EFSI ;</w:t>
      </w:r>
    </w:p>
    <w:p w14:paraId="5C55BC7A" w14:textId="77777777" w:rsidR="00726B07" w:rsidRPr="00E80661" w:rsidRDefault="00726B07" w:rsidP="00644601">
      <w:pPr>
        <w:pStyle w:val="ListParagraph"/>
        <w:numPr>
          <w:ilvl w:val="0"/>
          <w:numId w:val="28"/>
        </w:numPr>
        <w:overflowPunct/>
        <w:autoSpaceDE/>
        <w:autoSpaceDN/>
        <w:adjustRightInd/>
        <w:ind w:left="426" w:firstLine="0"/>
        <w:contextualSpacing/>
        <w:textAlignment w:val="auto"/>
      </w:pPr>
      <w:r w:rsidRPr="00E80661">
        <w:t>the need to structurally tackle the high level of the RAL</w:t>
      </w:r>
      <w:r w:rsidR="008B1960" w:rsidRPr="00E80661">
        <w:rPr>
          <w:rStyle w:val="FootnoteReference"/>
        </w:rPr>
        <w:footnoteReference w:id="31"/>
      </w:r>
      <w:r w:rsidRPr="00E80661">
        <w:t>;</w:t>
      </w:r>
    </w:p>
    <w:p w14:paraId="5C55BC7B" w14:textId="4DF133B9" w:rsidR="00726B07" w:rsidRPr="00E80661" w:rsidRDefault="000F55C4" w:rsidP="00644601">
      <w:pPr>
        <w:pStyle w:val="ListParagraph"/>
        <w:numPr>
          <w:ilvl w:val="0"/>
          <w:numId w:val="28"/>
        </w:numPr>
        <w:overflowPunct/>
        <w:autoSpaceDE/>
        <w:autoSpaceDN/>
        <w:adjustRightInd/>
        <w:ind w:left="426" w:firstLine="0"/>
        <w:contextualSpacing/>
        <w:textAlignment w:val="auto"/>
      </w:pPr>
      <w:r w:rsidRPr="00E80661">
        <w:t xml:space="preserve">strengthening </w:t>
      </w:r>
      <w:r w:rsidR="00726B07" w:rsidRPr="00E80661">
        <w:t>the Youth Employment Initiative;</w:t>
      </w:r>
    </w:p>
    <w:p w14:paraId="5C55BC7C" w14:textId="27B29432" w:rsidR="00726B07" w:rsidRPr="00E80661" w:rsidRDefault="00726B07" w:rsidP="00644601">
      <w:pPr>
        <w:pStyle w:val="ListParagraph"/>
        <w:numPr>
          <w:ilvl w:val="0"/>
          <w:numId w:val="28"/>
        </w:numPr>
        <w:overflowPunct/>
        <w:autoSpaceDE/>
        <w:autoSpaceDN/>
        <w:adjustRightInd/>
        <w:ind w:left="709" w:hanging="283"/>
        <w:contextualSpacing/>
        <w:textAlignment w:val="auto"/>
      </w:pPr>
      <w:r w:rsidRPr="00E80661">
        <w:t xml:space="preserve">a call to the Council not to artificially </w:t>
      </w:r>
      <w:r w:rsidR="002051E0" w:rsidRPr="00E80661">
        <w:t xml:space="preserve">make further </w:t>
      </w:r>
      <w:r w:rsidRPr="00E80661">
        <w:t>cut</w:t>
      </w:r>
      <w:r w:rsidR="002051E0" w:rsidRPr="00E80661">
        <w:t>s to t</w:t>
      </w:r>
      <w:r w:rsidRPr="00E80661">
        <w:t xml:space="preserve">he payment appropriations for </w:t>
      </w:r>
      <w:r w:rsidR="002051E0" w:rsidRPr="00E80661">
        <w:t>c</w:t>
      </w:r>
      <w:r w:rsidRPr="00E80661">
        <w:t xml:space="preserve">ohesion </w:t>
      </w:r>
      <w:r w:rsidR="002051E0" w:rsidRPr="00E80661">
        <w:t>p</w:t>
      </w:r>
      <w:r w:rsidRPr="00E80661">
        <w:t>olicy programmes</w:t>
      </w:r>
      <w:r w:rsidR="008F391B" w:rsidRPr="00E80661">
        <w:t>.</w:t>
      </w:r>
    </w:p>
    <w:p w14:paraId="5C55BC7D" w14:textId="77777777" w:rsidR="00765CAB" w:rsidRPr="00E80661" w:rsidRDefault="00765CAB" w:rsidP="00EE68F1">
      <w:pPr>
        <w:rPr>
          <w:b/>
        </w:rPr>
      </w:pPr>
    </w:p>
    <w:p w14:paraId="5C55BC7E" w14:textId="71391462" w:rsidR="008B6DC9" w:rsidRPr="00E80661" w:rsidRDefault="00255367" w:rsidP="0021009F">
      <w:pPr>
        <w:overflowPunct/>
        <w:autoSpaceDE/>
        <w:autoSpaceDN/>
        <w:adjustRightInd/>
        <w:textAlignment w:val="auto"/>
        <w:rPr>
          <w:szCs w:val="22"/>
          <w:lang w:eastAsia="en-GB"/>
        </w:rPr>
      </w:pPr>
      <w:r w:rsidRPr="00E80661">
        <w:rPr>
          <w:szCs w:val="22"/>
          <w:lang w:eastAsia="en-GB"/>
        </w:rPr>
        <w:t>T</w:t>
      </w:r>
      <w:r w:rsidR="0021009F" w:rsidRPr="00E80661">
        <w:rPr>
          <w:szCs w:val="22"/>
          <w:lang w:eastAsia="en-GB"/>
        </w:rPr>
        <w:t>he European Parliament</w:t>
      </w:r>
      <w:r w:rsidR="006B618D" w:rsidRPr="00E80661">
        <w:rPr>
          <w:szCs w:val="22"/>
          <w:lang w:eastAsia="en-GB"/>
        </w:rPr>
        <w:t>'s R</w:t>
      </w:r>
      <w:r w:rsidR="0021009F" w:rsidRPr="00E80661">
        <w:rPr>
          <w:szCs w:val="22"/>
          <w:lang w:eastAsia="en-GB"/>
        </w:rPr>
        <w:t xml:space="preserve">esolution on </w:t>
      </w:r>
      <w:r w:rsidR="006B618D" w:rsidRPr="00E80661">
        <w:rPr>
          <w:szCs w:val="22"/>
          <w:lang w:eastAsia="en-GB"/>
        </w:rPr>
        <w:t>t</w:t>
      </w:r>
      <w:r w:rsidR="0021009F" w:rsidRPr="00E80661">
        <w:rPr>
          <w:szCs w:val="22"/>
          <w:lang w:eastAsia="en-GB"/>
        </w:rPr>
        <w:t xml:space="preserve">he </w:t>
      </w:r>
      <w:r w:rsidR="006B618D" w:rsidRPr="00E80661">
        <w:rPr>
          <w:szCs w:val="22"/>
          <w:lang w:eastAsia="en-GB"/>
        </w:rPr>
        <w:t>P</w:t>
      </w:r>
      <w:r w:rsidR="0021009F" w:rsidRPr="00E80661">
        <w:rPr>
          <w:szCs w:val="22"/>
          <w:lang w:eastAsia="en-GB"/>
        </w:rPr>
        <w:t>reparation of the post-electoral revision of the MFF 2014-2020: Parliament's input ahead of the Commission's proposal"</w:t>
      </w:r>
      <w:r w:rsidR="00D262D2" w:rsidRPr="00E80661">
        <w:rPr>
          <w:rStyle w:val="FootnoteReference"/>
          <w:szCs w:val="22"/>
          <w:lang w:eastAsia="en-GB"/>
        </w:rPr>
        <w:footnoteReference w:id="32"/>
      </w:r>
      <w:r w:rsidR="0021009F" w:rsidRPr="00E80661">
        <w:rPr>
          <w:szCs w:val="22"/>
          <w:lang w:eastAsia="en-GB"/>
        </w:rPr>
        <w:t xml:space="preserve"> is in line with the recommendations expressed by the CoR in its </w:t>
      </w:r>
      <w:r w:rsidR="008B6DC9" w:rsidRPr="00E80661">
        <w:rPr>
          <w:szCs w:val="22"/>
          <w:lang w:eastAsia="en-GB"/>
        </w:rPr>
        <w:t xml:space="preserve">own-initiative </w:t>
      </w:r>
      <w:r w:rsidR="0021009F" w:rsidRPr="00E80661">
        <w:rPr>
          <w:szCs w:val="22"/>
          <w:lang w:eastAsia="en-GB"/>
        </w:rPr>
        <w:t>opinion</w:t>
      </w:r>
      <w:r w:rsidRPr="00E80661">
        <w:rPr>
          <w:szCs w:val="22"/>
          <w:lang w:eastAsia="en-GB"/>
        </w:rPr>
        <w:t xml:space="preserve"> on the </w:t>
      </w:r>
      <w:r w:rsidRPr="00E80661">
        <w:rPr>
          <w:b/>
        </w:rPr>
        <w:t>Mid-term revision of the Multiannual Financial Framework (MFF)</w:t>
      </w:r>
      <w:r w:rsidR="00D262D2" w:rsidRPr="00E80661">
        <w:rPr>
          <w:rStyle w:val="FootnoteReference"/>
        </w:rPr>
        <w:footnoteReference w:id="33"/>
      </w:r>
      <w:r w:rsidR="0021009F" w:rsidRPr="00E80661">
        <w:rPr>
          <w:szCs w:val="22"/>
          <w:lang w:eastAsia="en-GB"/>
        </w:rPr>
        <w:t xml:space="preserve">, as the rapporteurs of the EP </w:t>
      </w:r>
      <w:r w:rsidR="006B618D" w:rsidRPr="00E80661">
        <w:rPr>
          <w:szCs w:val="22"/>
          <w:lang w:eastAsia="en-GB"/>
        </w:rPr>
        <w:t>R</w:t>
      </w:r>
      <w:r w:rsidR="0021009F" w:rsidRPr="00E80661">
        <w:rPr>
          <w:szCs w:val="22"/>
          <w:lang w:eastAsia="en-GB"/>
        </w:rPr>
        <w:t>esolution closely cooperated with the CoR rapporteur</w:t>
      </w:r>
      <w:r w:rsidR="00D66AFE" w:rsidRPr="00E80661">
        <w:rPr>
          <w:szCs w:val="22"/>
          <w:lang w:eastAsia="en-GB"/>
        </w:rPr>
        <w:t>, in particular as regards</w:t>
      </w:r>
      <w:r w:rsidR="003F54EC" w:rsidRPr="00E80661">
        <w:rPr>
          <w:szCs w:val="22"/>
          <w:lang w:eastAsia="en-GB"/>
        </w:rPr>
        <w:t>:</w:t>
      </w:r>
      <w:r w:rsidR="00D66AFE" w:rsidRPr="00E80661">
        <w:rPr>
          <w:szCs w:val="22"/>
          <w:lang w:eastAsia="en-GB"/>
        </w:rPr>
        <w:t xml:space="preserve"> </w:t>
      </w:r>
    </w:p>
    <w:p w14:paraId="5C55BC7F" w14:textId="6CEC29DF" w:rsidR="008B6DC9" w:rsidRPr="00E80661" w:rsidRDefault="00D66AFE" w:rsidP="00644601">
      <w:pPr>
        <w:pStyle w:val="ListParagraph"/>
        <w:numPr>
          <w:ilvl w:val="0"/>
          <w:numId w:val="57"/>
        </w:numPr>
        <w:overflowPunct/>
        <w:autoSpaceDE/>
        <w:autoSpaceDN/>
        <w:adjustRightInd/>
        <w:textAlignment w:val="auto"/>
        <w:rPr>
          <w:szCs w:val="22"/>
          <w:lang w:eastAsia="en-GB"/>
        </w:rPr>
      </w:pPr>
      <w:r w:rsidRPr="00E80661">
        <w:rPr>
          <w:szCs w:val="22"/>
          <w:lang w:eastAsia="en-GB"/>
        </w:rPr>
        <w:t xml:space="preserve">the need for further flexibility </w:t>
      </w:r>
      <w:r w:rsidR="003F54EC" w:rsidRPr="00E80661">
        <w:rPr>
          <w:szCs w:val="22"/>
          <w:lang w:eastAsia="en-GB"/>
        </w:rPr>
        <w:t xml:space="preserve">in </w:t>
      </w:r>
      <w:r w:rsidRPr="00E80661">
        <w:rPr>
          <w:szCs w:val="22"/>
          <w:lang w:eastAsia="en-GB"/>
        </w:rPr>
        <w:t>the MFF</w:t>
      </w:r>
      <w:r w:rsidR="008B6DC9" w:rsidRPr="00E80661">
        <w:rPr>
          <w:szCs w:val="22"/>
          <w:lang w:eastAsia="en-GB"/>
        </w:rPr>
        <w:t xml:space="preserve"> and</w:t>
      </w:r>
      <w:r w:rsidR="003F54EC" w:rsidRPr="00E80661">
        <w:rPr>
          <w:szCs w:val="22"/>
          <w:lang w:eastAsia="en-GB"/>
        </w:rPr>
        <w:t xml:space="preserve"> </w:t>
      </w:r>
      <w:r w:rsidRPr="00E80661">
        <w:rPr>
          <w:szCs w:val="22"/>
          <w:lang w:eastAsia="en-GB"/>
        </w:rPr>
        <w:t xml:space="preserve">for </w:t>
      </w:r>
      <w:r w:rsidR="003F54EC" w:rsidRPr="00E80661">
        <w:rPr>
          <w:szCs w:val="22"/>
          <w:lang w:eastAsia="en-GB"/>
        </w:rPr>
        <w:t>strengthening</w:t>
      </w:r>
      <w:r w:rsidRPr="00E80661">
        <w:rPr>
          <w:szCs w:val="22"/>
          <w:lang w:eastAsia="en-GB"/>
        </w:rPr>
        <w:t xml:space="preserve"> the Horizon 2020 and Connecting Europe Facility</w:t>
      </w:r>
      <w:r w:rsidR="003F54EC" w:rsidRPr="00E80661">
        <w:rPr>
          <w:szCs w:val="22"/>
          <w:lang w:eastAsia="en-GB"/>
        </w:rPr>
        <w:t>;</w:t>
      </w:r>
      <w:r w:rsidRPr="00E80661">
        <w:rPr>
          <w:szCs w:val="22"/>
          <w:lang w:eastAsia="en-GB"/>
        </w:rPr>
        <w:t xml:space="preserve"> </w:t>
      </w:r>
    </w:p>
    <w:p w14:paraId="5C55BC80" w14:textId="3B0F505D" w:rsidR="008B6DC9" w:rsidRPr="00E80661" w:rsidRDefault="00D66AFE" w:rsidP="00644601">
      <w:pPr>
        <w:pStyle w:val="ListParagraph"/>
        <w:numPr>
          <w:ilvl w:val="0"/>
          <w:numId w:val="57"/>
        </w:numPr>
        <w:overflowPunct/>
        <w:autoSpaceDE/>
        <w:autoSpaceDN/>
        <w:adjustRightInd/>
        <w:textAlignment w:val="auto"/>
        <w:rPr>
          <w:szCs w:val="22"/>
          <w:lang w:eastAsia="en-GB"/>
        </w:rPr>
      </w:pPr>
      <w:r w:rsidRPr="00E80661">
        <w:rPr>
          <w:szCs w:val="22"/>
          <w:lang w:eastAsia="en-GB"/>
        </w:rPr>
        <w:t>the continuation of the Youth Employment Initiative</w:t>
      </w:r>
      <w:r w:rsidR="003F54EC" w:rsidRPr="00E80661">
        <w:rPr>
          <w:szCs w:val="22"/>
          <w:lang w:eastAsia="en-GB"/>
        </w:rPr>
        <w:t>;</w:t>
      </w:r>
      <w:r w:rsidRPr="00E80661">
        <w:rPr>
          <w:szCs w:val="22"/>
          <w:lang w:eastAsia="en-GB"/>
        </w:rPr>
        <w:t xml:space="preserve"> </w:t>
      </w:r>
    </w:p>
    <w:p w14:paraId="5C55BC81" w14:textId="558ADF78" w:rsidR="0021009F" w:rsidRPr="00E80661" w:rsidRDefault="00D66AFE" w:rsidP="00644601">
      <w:pPr>
        <w:pStyle w:val="ListParagraph"/>
        <w:numPr>
          <w:ilvl w:val="0"/>
          <w:numId w:val="57"/>
        </w:numPr>
        <w:overflowPunct/>
        <w:autoSpaceDE/>
        <w:autoSpaceDN/>
        <w:adjustRightInd/>
        <w:textAlignment w:val="auto"/>
        <w:rPr>
          <w:szCs w:val="22"/>
          <w:lang w:eastAsia="en-GB"/>
        </w:rPr>
      </w:pPr>
      <w:r w:rsidRPr="00E80661">
        <w:rPr>
          <w:szCs w:val="22"/>
          <w:lang w:eastAsia="en-GB"/>
        </w:rPr>
        <w:t>the need to address the payment backlog</w:t>
      </w:r>
      <w:r w:rsidR="0021009F" w:rsidRPr="00E80661">
        <w:rPr>
          <w:szCs w:val="22"/>
          <w:lang w:eastAsia="en-GB"/>
        </w:rPr>
        <w:t>.</w:t>
      </w:r>
    </w:p>
    <w:p w14:paraId="5C55BC82" w14:textId="77777777" w:rsidR="0021009F" w:rsidRPr="00E80661" w:rsidRDefault="0021009F" w:rsidP="0021009F">
      <w:pPr>
        <w:overflowPunct/>
        <w:autoSpaceDE/>
        <w:autoSpaceDN/>
        <w:adjustRightInd/>
        <w:textAlignment w:val="auto"/>
        <w:rPr>
          <w:szCs w:val="22"/>
          <w:lang w:eastAsia="en-GB"/>
        </w:rPr>
      </w:pPr>
    </w:p>
    <w:p w14:paraId="5C55BC83" w14:textId="67A6D4EB" w:rsidR="0021009F" w:rsidRPr="00E80661" w:rsidRDefault="00255367" w:rsidP="0021009F">
      <w:pPr>
        <w:overflowPunct/>
        <w:autoSpaceDE/>
        <w:autoSpaceDN/>
        <w:adjustRightInd/>
        <w:textAlignment w:val="auto"/>
      </w:pPr>
      <w:r w:rsidRPr="00E80661">
        <w:t>I</w:t>
      </w:r>
      <w:r w:rsidR="0021009F" w:rsidRPr="00E80661">
        <w:t>n its 70</w:t>
      </w:r>
      <w:r w:rsidR="008E5CA3" w:rsidRPr="00E80661">
        <w:t>th</w:t>
      </w:r>
      <w:r w:rsidR="0021009F" w:rsidRPr="00E80661">
        <w:t xml:space="preserve"> Follow-up Report </w:t>
      </w:r>
      <w:r w:rsidR="008E5CA3" w:rsidRPr="00E80661">
        <w:t xml:space="preserve">on </w:t>
      </w:r>
      <w:r w:rsidR="0021009F" w:rsidRPr="00E80661">
        <w:t xml:space="preserve">the CoR's Plenary Session of June 2016, </w:t>
      </w:r>
      <w:r w:rsidRPr="00E80661">
        <w:t xml:space="preserve">the European Commission </w:t>
      </w:r>
      <w:r w:rsidR="0021009F" w:rsidRPr="00E80661">
        <w:t xml:space="preserve">welcomed the CoR's own-initiative opinion. The Commission </w:t>
      </w:r>
      <w:r w:rsidR="008E5CA3" w:rsidRPr="00E80661">
        <w:t xml:space="preserve">announced </w:t>
      </w:r>
      <w:r w:rsidR="0021009F" w:rsidRPr="00E80661">
        <w:t>that the package of mid-term review proposals</w:t>
      </w:r>
      <w:r w:rsidR="00D262D2" w:rsidRPr="00E80661">
        <w:rPr>
          <w:rStyle w:val="FootnoteReference"/>
        </w:rPr>
        <w:footnoteReference w:id="34"/>
      </w:r>
      <w:r w:rsidR="0021009F" w:rsidRPr="00E80661">
        <w:t xml:space="preserve"> addresses the main aspects of the CoR opinion and aims:</w:t>
      </w:r>
    </w:p>
    <w:p w14:paraId="5C55BC84" w14:textId="2B3C9A49" w:rsidR="0021009F" w:rsidRPr="00E80661" w:rsidRDefault="0021009F" w:rsidP="00644601">
      <w:pPr>
        <w:pStyle w:val="ListParagraph"/>
        <w:numPr>
          <w:ilvl w:val="0"/>
          <w:numId w:val="32"/>
        </w:numPr>
        <w:overflowPunct/>
        <w:autoSpaceDE/>
        <w:autoSpaceDN/>
        <w:adjustRightInd/>
        <w:contextualSpacing/>
        <w:textAlignment w:val="auto"/>
        <w:rPr>
          <w:szCs w:val="22"/>
        </w:rPr>
      </w:pPr>
      <w:r w:rsidRPr="00E80661">
        <w:rPr>
          <w:szCs w:val="22"/>
        </w:rPr>
        <w:t xml:space="preserve">to provide additional financial means for efficiently tackling migration and security risks, and </w:t>
      </w:r>
      <w:r w:rsidR="00D6264D" w:rsidRPr="00E80661">
        <w:rPr>
          <w:szCs w:val="22"/>
        </w:rPr>
        <w:t xml:space="preserve">for </w:t>
      </w:r>
      <w:r w:rsidRPr="00E80661">
        <w:rPr>
          <w:szCs w:val="22"/>
        </w:rPr>
        <w:t>fostering economic growth, job creation and competitiveness;</w:t>
      </w:r>
    </w:p>
    <w:p w14:paraId="5C55BC85" w14:textId="06431789" w:rsidR="0021009F" w:rsidRPr="00E80661" w:rsidRDefault="0021009F" w:rsidP="00644601">
      <w:pPr>
        <w:pStyle w:val="ListParagraph"/>
        <w:numPr>
          <w:ilvl w:val="0"/>
          <w:numId w:val="32"/>
        </w:numPr>
        <w:overflowPunct/>
        <w:autoSpaceDE/>
        <w:autoSpaceDN/>
        <w:adjustRightInd/>
        <w:contextualSpacing/>
        <w:textAlignment w:val="auto"/>
        <w:rPr>
          <w:szCs w:val="22"/>
        </w:rPr>
      </w:pPr>
      <w:r w:rsidRPr="00E80661">
        <w:rPr>
          <w:szCs w:val="22"/>
        </w:rPr>
        <w:t xml:space="preserve">to increase the flexibility of the EU budget </w:t>
      </w:r>
      <w:r w:rsidR="00D6264D" w:rsidRPr="00E80661">
        <w:rPr>
          <w:szCs w:val="22"/>
        </w:rPr>
        <w:t xml:space="preserve">as well as </w:t>
      </w:r>
      <w:r w:rsidRPr="00E80661">
        <w:rPr>
          <w:szCs w:val="22"/>
        </w:rPr>
        <w:t>its ability to quickly and efficiently address unforeseen circumstances;</w:t>
      </w:r>
    </w:p>
    <w:p w14:paraId="5C55BC86" w14:textId="56EAA647" w:rsidR="0021009F" w:rsidRPr="00E80661" w:rsidRDefault="0021009F" w:rsidP="00644601">
      <w:pPr>
        <w:pStyle w:val="ListParagraph"/>
        <w:numPr>
          <w:ilvl w:val="0"/>
          <w:numId w:val="32"/>
        </w:numPr>
        <w:overflowPunct/>
        <w:autoSpaceDE/>
        <w:autoSpaceDN/>
        <w:adjustRightInd/>
        <w:contextualSpacing/>
        <w:textAlignment w:val="auto"/>
        <w:rPr>
          <w:szCs w:val="22"/>
        </w:rPr>
      </w:pPr>
      <w:r w:rsidRPr="00E80661">
        <w:rPr>
          <w:szCs w:val="22"/>
        </w:rPr>
        <w:t>to simplify financial rules and</w:t>
      </w:r>
      <w:r w:rsidR="00D6264D" w:rsidRPr="00E80661">
        <w:rPr>
          <w:szCs w:val="22"/>
        </w:rPr>
        <w:t xml:space="preserve"> thereby </w:t>
      </w:r>
      <w:r w:rsidRPr="00E80661">
        <w:rPr>
          <w:szCs w:val="22"/>
        </w:rPr>
        <w:t>reduce the administrative burden on recipients of EU funds.</w:t>
      </w:r>
    </w:p>
    <w:p w14:paraId="5C55BC88" w14:textId="77777777" w:rsidR="00DE2CB5" w:rsidRPr="00E80661" w:rsidRDefault="00DE2CB5" w:rsidP="0021009F">
      <w:pPr>
        <w:overflowPunct/>
        <w:autoSpaceDE/>
        <w:autoSpaceDN/>
        <w:adjustRightInd/>
        <w:textAlignment w:val="auto"/>
      </w:pPr>
    </w:p>
    <w:p w14:paraId="5C55BC89" w14:textId="52207119" w:rsidR="00765CAB" w:rsidRPr="00E80661" w:rsidRDefault="00D66AFE" w:rsidP="0021009F">
      <w:r w:rsidRPr="00E80661">
        <w:t xml:space="preserve">On 7 March 2017, the Council unanimously endorsed </w:t>
      </w:r>
      <w:r w:rsidR="00D6264D" w:rsidRPr="00E80661">
        <w:t xml:space="preserve">in principle </w:t>
      </w:r>
      <w:r w:rsidRPr="00E80661">
        <w:t xml:space="preserve">the agreement on the </w:t>
      </w:r>
      <w:r w:rsidR="00D6264D" w:rsidRPr="00E80661">
        <w:t xml:space="preserve">revision of the </w:t>
      </w:r>
      <w:r w:rsidRPr="00E80661">
        <w:t xml:space="preserve">MFF (UK and IT abstaining) and the European Parliament's Committee for Budgets adopted its recommendation on the revision on 27 March 2017. </w:t>
      </w:r>
      <w:r w:rsidR="00C8449B" w:rsidRPr="00E80661">
        <w:t xml:space="preserve">The proposal was adopted by the European Parliament on 5 April 2017 and </w:t>
      </w:r>
      <w:r w:rsidR="00D6264D" w:rsidRPr="00E80661">
        <w:t xml:space="preserve">is </w:t>
      </w:r>
      <w:r w:rsidR="00C8449B" w:rsidRPr="00E80661">
        <w:t>still await</w:t>
      </w:r>
      <w:r w:rsidR="00D6264D" w:rsidRPr="00E80661">
        <w:t xml:space="preserve">ing </w:t>
      </w:r>
      <w:r w:rsidR="00C8449B" w:rsidRPr="00E80661">
        <w:t>adoption by unanimity in the Council.</w:t>
      </w:r>
    </w:p>
    <w:p w14:paraId="5C55BC8A" w14:textId="77777777" w:rsidR="00EB0FF3" w:rsidRPr="00E80661" w:rsidRDefault="00EB0FF3" w:rsidP="0021009F"/>
    <w:p w14:paraId="5C55BC8B" w14:textId="49AAAD5E" w:rsidR="006E21DD" w:rsidRPr="00E80661" w:rsidRDefault="006E21DD" w:rsidP="006E21DD">
      <w:pPr>
        <w:overflowPunct/>
        <w:autoSpaceDE/>
        <w:autoSpaceDN/>
        <w:adjustRightInd/>
        <w:textAlignment w:val="auto"/>
      </w:pPr>
      <w:r w:rsidRPr="00E80661">
        <w:t>The CoR will closely scrutini</w:t>
      </w:r>
      <w:r w:rsidR="009D07AD" w:rsidRPr="00E80661">
        <w:t>s</w:t>
      </w:r>
      <w:r w:rsidRPr="00E80661">
        <w:t xml:space="preserve">e the proposed changes </w:t>
      </w:r>
      <w:r w:rsidR="00723D07" w:rsidRPr="00E80661">
        <w:t xml:space="preserve">as well as </w:t>
      </w:r>
      <w:r w:rsidRPr="00E80661">
        <w:t>legislation</w:t>
      </w:r>
      <w:r w:rsidR="00723D07" w:rsidRPr="00E80661">
        <w:t xml:space="preserve"> that has already been adopted</w:t>
      </w:r>
      <w:r w:rsidRPr="00E80661">
        <w:t>, in order to prepare its position well ahead of the Commission's proposal for the next MFF.</w:t>
      </w:r>
    </w:p>
    <w:p w14:paraId="5C55BC8C" w14:textId="77777777" w:rsidR="006E21DD" w:rsidRPr="00E80661" w:rsidRDefault="006E21DD" w:rsidP="0021009F"/>
    <w:p w14:paraId="5C55BC8D" w14:textId="77777777" w:rsidR="00A83299" w:rsidRPr="00E80661" w:rsidRDefault="00A83299" w:rsidP="0021009F"/>
    <w:p w14:paraId="5C55BC8E" w14:textId="77777777" w:rsidR="00F82EB8" w:rsidRPr="00E80661" w:rsidRDefault="00F82EB8" w:rsidP="009B02C0">
      <w:pPr>
        <w:pStyle w:val="Heading2"/>
        <w:rPr>
          <w:b/>
          <w:szCs w:val="22"/>
        </w:rPr>
      </w:pPr>
      <w:bookmarkStart w:id="34" w:name="_Toc486243280"/>
      <w:bookmarkStart w:id="35" w:name="_Toc485373832"/>
      <w:r w:rsidRPr="00E80661">
        <w:rPr>
          <w:b/>
          <w:szCs w:val="22"/>
        </w:rPr>
        <w:t>Regional development indicators</w:t>
      </w:r>
      <w:bookmarkEnd w:id="34"/>
      <w:bookmarkEnd w:id="35"/>
    </w:p>
    <w:p w14:paraId="5C55BC8F" w14:textId="77777777" w:rsidR="00F82EB8" w:rsidRPr="00E80661" w:rsidRDefault="00F82EB8" w:rsidP="00F82EB8">
      <w:pPr>
        <w:rPr>
          <w:b/>
        </w:rPr>
      </w:pPr>
    </w:p>
    <w:p w14:paraId="5C55BC90" w14:textId="33C9C910" w:rsidR="00C33E27" w:rsidRPr="00E80661" w:rsidRDefault="008B6DC9" w:rsidP="00EB0FF3">
      <w:pPr>
        <w:spacing w:after="120"/>
      </w:pPr>
      <w:r w:rsidRPr="00E80661">
        <w:t>T</w:t>
      </w:r>
      <w:r w:rsidR="004C08C0" w:rsidRPr="00E80661">
        <w:t>he Regulation of the European Parliament and of the Council amending Regulation (EU) No 99/2013 of the European Parliament and of the Council on the European statistical programme 2013-2017 by extending it to 2018-2020</w:t>
      </w:r>
      <w:r w:rsidR="00EB0FF3" w:rsidRPr="00E80661">
        <w:rPr>
          <w:rStyle w:val="FootnoteReference"/>
        </w:rPr>
        <w:footnoteReference w:id="35"/>
      </w:r>
      <w:r w:rsidR="004C08C0" w:rsidRPr="00E80661">
        <w:t xml:space="preserve"> picks up on the concept </w:t>
      </w:r>
      <w:r w:rsidRPr="00E80661">
        <w:t xml:space="preserve">presented in </w:t>
      </w:r>
      <w:r w:rsidR="00664C7B" w:rsidRPr="00E80661">
        <w:t xml:space="preserve">the opinion </w:t>
      </w:r>
      <w:r w:rsidR="00723D07" w:rsidRPr="00E80661">
        <w:t>on</w:t>
      </w:r>
      <w:r w:rsidR="00723D07" w:rsidRPr="00E80661">
        <w:rPr>
          <w:b/>
        </w:rPr>
        <w:t xml:space="preserve"> </w:t>
      </w:r>
      <w:r w:rsidR="00664C7B" w:rsidRPr="00E80661">
        <w:rPr>
          <w:b/>
        </w:rPr>
        <w:t>Indicators for territorial development – GDP and beyond</w:t>
      </w:r>
      <w:r w:rsidR="00EB0FF3" w:rsidRPr="00E80661">
        <w:rPr>
          <w:rStyle w:val="FootnoteReference"/>
        </w:rPr>
        <w:footnoteReference w:id="36"/>
      </w:r>
      <w:r w:rsidR="00EB0FF3" w:rsidRPr="00E80661">
        <w:t xml:space="preserve"> </w:t>
      </w:r>
      <w:r w:rsidR="004C08C0" w:rsidRPr="00E80661">
        <w:t>in order to</w:t>
      </w:r>
      <w:r w:rsidR="00C33E27" w:rsidRPr="00E80661">
        <w:t>:</w:t>
      </w:r>
    </w:p>
    <w:p w14:paraId="5C55BC91" w14:textId="77777777" w:rsidR="004C08C0" w:rsidRPr="00E80661" w:rsidRDefault="004C08C0" w:rsidP="00644601">
      <w:pPr>
        <w:pStyle w:val="ListParagraph"/>
        <w:numPr>
          <w:ilvl w:val="0"/>
          <w:numId w:val="50"/>
        </w:numPr>
        <w:spacing w:after="120"/>
      </w:pPr>
      <w:r w:rsidRPr="00E80661">
        <w:t>achieve better statistics on cross-cutting issues and to produce more integrated statistics to describe complex social, environmental and economic phenomena beyond the traditional measures of economic output.</w:t>
      </w:r>
    </w:p>
    <w:p w14:paraId="5C55BC92" w14:textId="05F720C0" w:rsidR="004C08C0" w:rsidRPr="00E80661" w:rsidRDefault="004C08C0" w:rsidP="00644601">
      <w:pPr>
        <w:pStyle w:val="ListParagraph"/>
        <w:numPr>
          <w:ilvl w:val="0"/>
          <w:numId w:val="50"/>
        </w:numPr>
        <w:spacing w:after="120"/>
      </w:pPr>
      <w:r w:rsidRPr="00E80661">
        <w:t>reinforce the support for evidence-based policy-making by a more flexible and increased use of spatial information combined with social, economic and environmental statistical information for regions, regional typologies, cities and the degree of urbanisation – as identified in the opinion as a prerequisite for high</w:t>
      </w:r>
      <w:r w:rsidR="00723D07" w:rsidRPr="00E80661">
        <w:t>-</w:t>
      </w:r>
      <w:r w:rsidRPr="00E80661">
        <w:t>quality policy</w:t>
      </w:r>
      <w:r w:rsidR="00A00A59" w:rsidRPr="00E80661">
        <w:t>-</w:t>
      </w:r>
      <w:r w:rsidRPr="00E80661">
        <w:t xml:space="preserve">making </w:t>
      </w:r>
      <w:r w:rsidR="00A00A59" w:rsidRPr="00E80661">
        <w:t>at a</w:t>
      </w:r>
      <w:r w:rsidRPr="00E80661">
        <w:t xml:space="preserve"> local and regional level.</w:t>
      </w:r>
    </w:p>
    <w:p w14:paraId="5C55BC94" w14:textId="4FFA4453" w:rsidR="00CF3EC8" w:rsidRPr="00E80661" w:rsidRDefault="004C08C0" w:rsidP="00644601">
      <w:pPr>
        <w:pStyle w:val="ListParagraph"/>
        <w:numPr>
          <w:ilvl w:val="0"/>
          <w:numId w:val="50"/>
        </w:numPr>
        <w:rPr>
          <w:szCs w:val="22"/>
        </w:rPr>
      </w:pPr>
      <w:r w:rsidRPr="00E80661">
        <w:t>engage proactively in a regular dialogue with users to better understand their needs</w:t>
      </w:r>
      <w:r w:rsidR="008B6DC9" w:rsidRPr="00E80661">
        <w:t>.</w:t>
      </w:r>
      <w:r w:rsidRPr="00E80661">
        <w:t xml:space="preserve"> </w:t>
      </w:r>
    </w:p>
    <w:p w14:paraId="5C55BC95" w14:textId="77777777" w:rsidR="006E7FD0" w:rsidRPr="00E80661" w:rsidRDefault="006E7FD0" w:rsidP="005B2CFF">
      <w:pPr>
        <w:rPr>
          <w:szCs w:val="22"/>
        </w:rPr>
      </w:pPr>
      <w:bookmarkStart w:id="36" w:name="_Toc418860748"/>
      <w:bookmarkEnd w:id="29"/>
    </w:p>
    <w:p w14:paraId="5C55BC96" w14:textId="77777777" w:rsidR="00383150" w:rsidRPr="00E80661" w:rsidRDefault="0087714C" w:rsidP="005B2CFF">
      <w:pPr>
        <w:pStyle w:val="Heading2"/>
        <w:ind w:left="0" w:firstLine="0"/>
        <w:rPr>
          <w:b/>
          <w:szCs w:val="22"/>
        </w:rPr>
      </w:pPr>
      <w:bookmarkStart w:id="37" w:name="_Toc486243281"/>
      <w:bookmarkStart w:id="38" w:name="_Toc485373833"/>
      <w:r w:rsidRPr="00E80661">
        <w:rPr>
          <w:b/>
          <w:szCs w:val="22"/>
        </w:rPr>
        <w:t>Cross-</w:t>
      </w:r>
      <w:r w:rsidR="00206CB4" w:rsidRPr="00E80661">
        <w:rPr>
          <w:b/>
          <w:szCs w:val="22"/>
        </w:rPr>
        <w:t>b</w:t>
      </w:r>
      <w:r w:rsidRPr="00E80661">
        <w:rPr>
          <w:b/>
          <w:szCs w:val="22"/>
        </w:rPr>
        <w:t>order cooperation</w:t>
      </w:r>
      <w:bookmarkEnd w:id="36"/>
      <w:bookmarkEnd w:id="37"/>
      <w:bookmarkEnd w:id="38"/>
    </w:p>
    <w:p w14:paraId="5C55BC97" w14:textId="77777777" w:rsidR="00CF3EC8" w:rsidRPr="00E80661" w:rsidRDefault="00CF3EC8" w:rsidP="005B2CFF">
      <w:pPr>
        <w:rPr>
          <w:szCs w:val="22"/>
        </w:rPr>
      </w:pPr>
    </w:p>
    <w:p w14:paraId="5C55BC98" w14:textId="595CB72E" w:rsidR="00543667" w:rsidRPr="00E80661" w:rsidRDefault="00664C7B" w:rsidP="00543667">
      <w:bookmarkStart w:id="39" w:name="_Toc418860749"/>
      <w:r w:rsidRPr="00E80661">
        <w:t>I</w:t>
      </w:r>
      <w:r w:rsidR="00543667" w:rsidRPr="00E80661">
        <w:t xml:space="preserve">n its follow-up report dated 29 March 2016, </w:t>
      </w:r>
      <w:r w:rsidRPr="00E80661">
        <w:t xml:space="preserve">the European Commission </w:t>
      </w:r>
      <w:r w:rsidR="00543667" w:rsidRPr="00E80661">
        <w:t>welcomed the CoR's support for the ongoing review of cross-border obstacles</w:t>
      </w:r>
      <w:r w:rsidRPr="00E80661">
        <w:t xml:space="preserve"> as outlined in the opinion</w:t>
      </w:r>
      <w:r w:rsidR="00714854" w:rsidRPr="00E80661">
        <w:t xml:space="preserve"> </w:t>
      </w:r>
      <w:r w:rsidR="003610CA" w:rsidRPr="00E80661">
        <w:t>on</w:t>
      </w:r>
      <w:r w:rsidR="003610CA" w:rsidRPr="00E80661">
        <w:rPr>
          <w:rFonts w:cs="Arial"/>
          <w:b/>
          <w:szCs w:val="22"/>
        </w:rPr>
        <w:t xml:space="preserve"> </w:t>
      </w:r>
      <w:r w:rsidRPr="00E80661">
        <w:rPr>
          <w:rFonts w:cs="Arial"/>
          <w:b/>
          <w:szCs w:val="22"/>
        </w:rPr>
        <w:t>Strengthening Cross-border Cooperation: the need for a better regulatory framework?</w:t>
      </w:r>
      <w:r w:rsidR="00714854" w:rsidRPr="00E80661">
        <w:rPr>
          <w:rStyle w:val="FootnoteReference"/>
          <w:rFonts w:cs="Arial"/>
          <w:szCs w:val="22"/>
        </w:rPr>
        <w:footnoteReference w:id="37"/>
      </w:r>
      <w:r w:rsidR="00D66AFE" w:rsidRPr="00E80661">
        <w:rPr>
          <w:rFonts w:cs="Arial"/>
          <w:szCs w:val="22"/>
        </w:rPr>
        <w:t xml:space="preserve"> and underlined in the CoR </w:t>
      </w:r>
      <w:r w:rsidR="00D66AFE" w:rsidRPr="00E80661">
        <w:rPr>
          <w:rFonts w:cs="Arial"/>
          <w:b/>
          <w:szCs w:val="22"/>
        </w:rPr>
        <w:t>Resolution on the European Commission work programme 2016</w:t>
      </w:r>
      <w:r w:rsidR="00D66AFE" w:rsidRPr="00E80661">
        <w:rPr>
          <w:rStyle w:val="FootnoteReference"/>
          <w:rFonts w:cs="Arial"/>
          <w:szCs w:val="22"/>
        </w:rPr>
        <w:footnoteReference w:id="38"/>
      </w:r>
      <w:r w:rsidR="00D66AFE" w:rsidRPr="00E80661">
        <w:rPr>
          <w:rFonts w:cs="Arial"/>
          <w:b/>
          <w:szCs w:val="22"/>
        </w:rPr>
        <w:t>.</w:t>
      </w:r>
    </w:p>
    <w:p w14:paraId="5C55BC9B" w14:textId="77777777" w:rsidR="00543667" w:rsidRPr="00E80661" w:rsidRDefault="00543667" w:rsidP="00644601">
      <w:pPr>
        <w:pStyle w:val="ListParagraph"/>
      </w:pPr>
    </w:p>
    <w:p w14:paraId="5C55BC9C" w14:textId="0C2DAB25" w:rsidR="00FA2F92" w:rsidRPr="00E80661" w:rsidRDefault="00543667" w:rsidP="00543667">
      <w:r w:rsidRPr="00E80661">
        <w:t xml:space="preserve">The Government of Luxembourg </w:t>
      </w:r>
      <w:r w:rsidR="00D66AFE" w:rsidRPr="00E80661">
        <w:t xml:space="preserve">put forward a proposal for </w:t>
      </w:r>
      <w:r w:rsidR="00122CCC">
        <w:t>the</w:t>
      </w:r>
      <w:r w:rsidR="00D66AFE" w:rsidRPr="00E80661">
        <w:t xml:space="preserve"> creation</w:t>
      </w:r>
      <w:r w:rsidRPr="00E80661">
        <w:t xml:space="preserve">, in 2016, </w:t>
      </w:r>
      <w:r w:rsidR="004F616C" w:rsidRPr="00E80661">
        <w:t xml:space="preserve">of </w:t>
      </w:r>
      <w:r w:rsidRPr="00E80661">
        <w:t xml:space="preserve">a working group of experts from different EU Member States with the aim of developing a concrete proposal for the Regulation on </w:t>
      </w:r>
      <w:r w:rsidR="003610CA" w:rsidRPr="00E80661">
        <w:t xml:space="preserve">a </w:t>
      </w:r>
      <w:r w:rsidRPr="00E80661">
        <w:t xml:space="preserve">European Cross-Border Convention. The working group met several times </w:t>
      </w:r>
      <w:r w:rsidR="003610CA" w:rsidRPr="00E80661">
        <w:t>in</w:t>
      </w:r>
      <w:r w:rsidRPr="00E80661">
        <w:t xml:space="preserve"> 2016 and a proposal </w:t>
      </w:r>
      <w:r w:rsidR="002305F7" w:rsidRPr="00E80661">
        <w:t>was</w:t>
      </w:r>
      <w:r w:rsidRPr="00E80661">
        <w:t xml:space="preserve"> presented </w:t>
      </w:r>
      <w:r w:rsidR="004F616C" w:rsidRPr="00E80661">
        <w:t xml:space="preserve">at the </w:t>
      </w:r>
      <w:r w:rsidR="004F616C" w:rsidRPr="00E80661">
        <w:rPr>
          <w:b/>
        </w:rPr>
        <w:t>Directors</w:t>
      </w:r>
      <w:r w:rsidR="003610CA" w:rsidRPr="00E80661">
        <w:rPr>
          <w:b/>
        </w:rPr>
        <w:t>-</w:t>
      </w:r>
      <w:r w:rsidR="004F616C" w:rsidRPr="00E80661">
        <w:rPr>
          <w:b/>
        </w:rPr>
        <w:t>General Meeting on Territorial Cohesion</w:t>
      </w:r>
      <w:r w:rsidR="004F616C" w:rsidRPr="00E80661">
        <w:t xml:space="preserve">, </w:t>
      </w:r>
      <w:r w:rsidR="00E80661">
        <w:t>h</w:t>
      </w:r>
      <w:r w:rsidR="00E80661" w:rsidRPr="00E80661">
        <w:t>eld</w:t>
      </w:r>
      <w:r w:rsidR="003610CA" w:rsidRPr="00E80661">
        <w:t xml:space="preserve"> on </w:t>
      </w:r>
      <w:r w:rsidR="004F616C" w:rsidRPr="00E80661">
        <w:t xml:space="preserve">3 April </w:t>
      </w:r>
      <w:r w:rsidRPr="00E80661">
        <w:t xml:space="preserve">2017. The European Committee of the Regions has been an active contributor in terms of </w:t>
      </w:r>
      <w:r w:rsidR="003610CA" w:rsidRPr="00E80661">
        <w:t xml:space="preserve">both </w:t>
      </w:r>
      <w:r w:rsidRPr="00E80661">
        <w:t>logistics</w:t>
      </w:r>
      <w:r w:rsidR="00714854" w:rsidRPr="00E80661">
        <w:t xml:space="preserve"> </w:t>
      </w:r>
      <w:r w:rsidRPr="00E80661">
        <w:t xml:space="preserve">and content in the development of this proposal. The group intends to draw conclusions by the end of 2017, leading to a legislative proposal which ideally </w:t>
      </w:r>
      <w:r w:rsidR="00C8449B" w:rsidRPr="00E80661">
        <w:t xml:space="preserve">could be put forward </w:t>
      </w:r>
      <w:r w:rsidRPr="00E80661">
        <w:t>at the end of 2018.</w:t>
      </w:r>
    </w:p>
    <w:p w14:paraId="5C55BC9D" w14:textId="77777777" w:rsidR="004F616C" w:rsidRPr="00E80661" w:rsidRDefault="004F616C" w:rsidP="00543667"/>
    <w:p w14:paraId="5C55BC9E" w14:textId="77777777" w:rsidR="004F616C" w:rsidRPr="00E80661" w:rsidRDefault="004F616C" w:rsidP="004F616C">
      <w:r w:rsidRPr="00E80661">
        <w:t>The proposals of the working group include two mutually complementary initiatives:</w:t>
      </w:r>
    </w:p>
    <w:p w14:paraId="5C55BC9F" w14:textId="025E2632" w:rsidR="004F616C" w:rsidRPr="00E80661" w:rsidRDefault="004F616C" w:rsidP="00644601">
      <w:pPr>
        <w:pStyle w:val="ListParagraph"/>
        <w:numPr>
          <w:ilvl w:val="0"/>
          <w:numId w:val="47"/>
        </w:numPr>
        <w:rPr>
          <w:szCs w:val="22"/>
        </w:rPr>
      </w:pPr>
      <w:r w:rsidRPr="00E80661">
        <w:rPr>
          <w:szCs w:val="22"/>
        </w:rPr>
        <w:t xml:space="preserve">a proposal to </w:t>
      </w:r>
      <w:r w:rsidRPr="00E80661">
        <w:rPr>
          <w:b/>
          <w:szCs w:val="22"/>
        </w:rPr>
        <w:t xml:space="preserve">create a </w:t>
      </w:r>
      <w:r w:rsidR="003610CA" w:rsidRPr="00E80661">
        <w:rPr>
          <w:b/>
          <w:szCs w:val="22"/>
        </w:rPr>
        <w:t xml:space="preserve">new, </w:t>
      </w:r>
      <w:r w:rsidRPr="00E80661">
        <w:rPr>
          <w:b/>
          <w:szCs w:val="22"/>
        </w:rPr>
        <w:t>voluntarily applicable legal tool addressing administrative and legal obstacles – European Cross-Border Convention</w:t>
      </w:r>
      <w:r w:rsidRPr="00E80661">
        <w:rPr>
          <w:szCs w:val="22"/>
        </w:rPr>
        <w:t xml:space="preserve"> (which has also been </w:t>
      </w:r>
      <w:r w:rsidR="00F53C4F" w:rsidRPr="00E80661">
        <w:rPr>
          <w:szCs w:val="22"/>
        </w:rPr>
        <w:t xml:space="preserve">addressed by </w:t>
      </w:r>
      <w:r w:rsidRPr="00E80661">
        <w:rPr>
          <w:szCs w:val="22"/>
        </w:rPr>
        <w:t>the CoR opinion in 2015) – that would allow local and regional authorities to initiate a procedure for solving these obstacles and encourage the competent authority to address them;</w:t>
      </w:r>
    </w:p>
    <w:p w14:paraId="5C55BCA0" w14:textId="77777777" w:rsidR="004F616C" w:rsidRPr="00E80661" w:rsidRDefault="004F616C" w:rsidP="00E24A1B">
      <w:pPr>
        <w:pStyle w:val="ListParagraph"/>
        <w:numPr>
          <w:ilvl w:val="0"/>
          <w:numId w:val="47"/>
        </w:numPr>
        <w:rPr>
          <w:szCs w:val="22"/>
        </w:rPr>
      </w:pPr>
      <w:r w:rsidRPr="00E80661">
        <w:rPr>
          <w:szCs w:val="22"/>
        </w:rPr>
        <w:t xml:space="preserve">a proposal to </w:t>
      </w:r>
      <w:r w:rsidRPr="00E80661">
        <w:rPr>
          <w:b/>
          <w:szCs w:val="22"/>
        </w:rPr>
        <w:t>set up a European multilevel platform to exchange problem-solving methods</w:t>
      </w:r>
      <w:r w:rsidRPr="00E80661">
        <w:rPr>
          <w:szCs w:val="22"/>
        </w:rPr>
        <w:t xml:space="preserve"> from different parts of Europe and foster the exchange of experiences and best practices.</w:t>
      </w:r>
    </w:p>
    <w:p w14:paraId="5C55BCA2" w14:textId="77777777" w:rsidR="00F82EB8" w:rsidRPr="00E80661" w:rsidRDefault="00F82EB8" w:rsidP="00F82EB8">
      <w:pPr>
        <w:rPr>
          <w:szCs w:val="22"/>
        </w:rPr>
      </w:pPr>
    </w:p>
    <w:p w14:paraId="75EE224D" w14:textId="28ACA8E7" w:rsidR="001D5C8E" w:rsidRPr="00E80661" w:rsidRDefault="001D5C8E" w:rsidP="001D5C8E">
      <w:pPr>
        <w:rPr>
          <w:szCs w:val="22"/>
        </w:rPr>
      </w:pPr>
      <w:r w:rsidRPr="00E80661">
        <w:rPr>
          <w:szCs w:val="22"/>
        </w:rPr>
        <w:t xml:space="preserve">The rapporteur of the opinion </w:t>
      </w:r>
      <w:r w:rsidRPr="00E80661">
        <w:rPr>
          <w:b/>
          <w:szCs w:val="22"/>
        </w:rPr>
        <w:t xml:space="preserve">Territorial vision 2050 – What </w:t>
      </w:r>
      <w:r w:rsidR="00F53C4F" w:rsidRPr="00E80661">
        <w:rPr>
          <w:b/>
          <w:szCs w:val="22"/>
        </w:rPr>
        <w:t>f</w:t>
      </w:r>
      <w:r w:rsidRPr="00E80661">
        <w:rPr>
          <w:b/>
          <w:szCs w:val="22"/>
        </w:rPr>
        <w:t>uture?</w:t>
      </w:r>
      <w:r w:rsidRPr="00E80661">
        <w:rPr>
          <w:rStyle w:val="FootnoteReference"/>
          <w:szCs w:val="22"/>
        </w:rPr>
        <w:footnoteReference w:id="39"/>
      </w:r>
      <w:r w:rsidRPr="00E80661">
        <w:rPr>
          <w:szCs w:val="22"/>
        </w:rPr>
        <w:t xml:space="preserve"> presented the opinion at the EP ECR Group's Localism and Subsidiarity Policy Group </w:t>
      </w:r>
      <w:r w:rsidR="00F53C4F" w:rsidRPr="00E80661">
        <w:rPr>
          <w:szCs w:val="22"/>
        </w:rPr>
        <w:t xml:space="preserve">meeting on 7 December </w:t>
      </w:r>
      <w:r w:rsidRPr="00E80661">
        <w:rPr>
          <w:szCs w:val="22"/>
        </w:rPr>
        <w:t xml:space="preserve">and at the Congress of the Council of European Municipalities and Regions (CEMR) in the panel session </w:t>
      </w:r>
      <w:r w:rsidR="00F53C4F" w:rsidRPr="00E80661">
        <w:rPr>
          <w:szCs w:val="22"/>
        </w:rPr>
        <w:t>en</w:t>
      </w:r>
      <w:r w:rsidRPr="00E80661">
        <w:rPr>
          <w:szCs w:val="22"/>
        </w:rPr>
        <w:t>titled "European territorial development: Vision and scenarios towards 2050" on 20-22 April 2016. The CoR's input has been incorporated into the CEMR Bluebook on the corresponding topic.</w:t>
      </w:r>
    </w:p>
    <w:p w14:paraId="5F2AE9AA" w14:textId="77777777" w:rsidR="001D5C8E" w:rsidRPr="00E80661" w:rsidRDefault="001D5C8E" w:rsidP="00644601">
      <w:pPr>
        <w:rPr>
          <w:szCs w:val="22"/>
        </w:rPr>
      </w:pPr>
    </w:p>
    <w:p w14:paraId="0C5304F7" w14:textId="77777777" w:rsidR="001D5C8E" w:rsidRPr="00E80661" w:rsidRDefault="001D5C8E" w:rsidP="00F82EB8">
      <w:pPr>
        <w:rPr>
          <w:szCs w:val="22"/>
        </w:rPr>
      </w:pPr>
    </w:p>
    <w:p w14:paraId="5C55BCA3" w14:textId="77777777" w:rsidR="00E639FE" w:rsidRPr="00E80661" w:rsidRDefault="00E639FE" w:rsidP="005B2CFF">
      <w:pPr>
        <w:pStyle w:val="Heading2"/>
        <w:ind w:left="0" w:firstLine="0"/>
        <w:rPr>
          <w:b/>
          <w:szCs w:val="22"/>
        </w:rPr>
      </w:pPr>
      <w:bookmarkStart w:id="40" w:name="_Toc486243282"/>
      <w:bookmarkStart w:id="41" w:name="_Toc485373834"/>
      <w:r w:rsidRPr="00E80661">
        <w:rPr>
          <w:b/>
          <w:szCs w:val="22"/>
        </w:rPr>
        <w:t>Urban policy</w:t>
      </w:r>
      <w:bookmarkEnd w:id="40"/>
      <w:bookmarkEnd w:id="41"/>
    </w:p>
    <w:p w14:paraId="5C55BCA4" w14:textId="77777777" w:rsidR="00780B18" w:rsidRPr="00E80661" w:rsidRDefault="00780B18" w:rsidP="005B2CFF">
      <w:pPr>
        <w:rPr>
          <w:szCs w:val="22"/>
        </w:rPr>
      </w:pPr>
    </w:p>
    <w:bookmarkEnd w:id="39"/>
    <w:p w14:paraId="5C55BCA5" w14:textId="77777777" w:rsidR="008F258D" w:rsidRPr="00E80661" w:rsidRDefault="00F918DE" w:rsidP="008F258D">
      <w:pPr>
        <w:overflowPunct/>
        <w:autoSpaceDE/>
        <w:autoSpaceDN/>
        <w:adjustRightInd/>
        <w:textAlignment w:val="auto"/>
      </w:pPr>
      <w:r w:rsidRPr="00E80661">
        <w:t xml:space="preserve">The Mayors of the EU Capital Cities adopted a Declaration on the EU Urban Agenda on 21 April 2016 in Amsterdam. This political statement clearly followed the CoR opinion </w:t>
      </w:r>
      <w:r w:rsidR="008A2606" w:rsidRPr="00E80661">
        <w:rPr>
          <w:b/>
        </w:rPr>
        <w:t>Towards an Integrated Urban Agenda for the EU</w:t>
      </w:r>
      <w:r w:rsidR="00686B09" w:rsidRPr="00E80661">
        <w:rPr>
          <w:rStyle w:val="FootnoteReference"/>
        </w:rPr>
        <w:footnoteReference w:id="40"/>
      </w:r>
      <w:r w:rsidR="00686B09" w:rsidRPr="00E80661">
        <w:rPr>
          <w:b/>
        </w:rPr>
        <w:t xml:space="preserve"> </w:t>
      </w:r>
      <w:r w:rsidRPr="00E80661">
        <w:t>and underlined that the final goal of the EU Urban Agenda should be a genuine cross-cutting anchoring of the urban dimension in the EU decision-making process ("urban mainstreaming"), which applies to all relevant European policies and legislation, with a bottom-up approach.</w:t>
      </w:r>
    </w:p>
    <w:p w14:paraId="5C55BCA6" w14:textId="77777777" w:rsidR="002B2708" w:rsidRPr="00E80661" w:rsidRDefault="002B2708" w:rsidP="008F258D">
      <w:pPr>
        <w:overflowPunct/>
        <w:autoSpaceDE/>
        <w:autoSpaceDN/>
        <w:adjustRightInd/>
        <w:textAlignment w:val="auto"/>
      </w:pPr>
    </w:p>
    <w:p w14:paraId="5C55BCA7" w14:textId="41A24116" w:rsidR="008A2606" w:rsidRPr="00E80661" w:rsidRDefault="00CD336E" w:rsidP="008F258D">
      <w:pPr>
        <w:overflowPunct/>
        <w:autoSpaceDE/>
        <w:autoSpaceDN/>
        <w:adjustRightInd/>
        <w:textAlignment w:val="auto"/>
      </w:pPr>
      <w:r w:rsidRPr="00E80661">
        <w:t xml:space="preserve">This </w:t>
      </w:r>
      <w:r w:rsidR="00F918DE" w:rsidRPr="00E80661">
        <w:t xml:space="preserve">opinion, together with the CoR opinion on </w:t>
      </w:r>
      <w:r w:rsidR="00F918DE" w:rsidRPr="00E80661">
        <w:rPr>
          <w:b/>
        </w:rPr>
        <w:t>Concrete steps for implementing the EU Urban Agenda</w:t>
      </w:r>
      <w:r w:rsidR="00686B09" w:rsidRPr="00644601">
        <w:rPr>
          <w:rStyle w:val="FootnoteReference"/>
          <w:b/>
        </w:rPr>
        <w:footnoteReference w:id="41"/>
      </w:r>
      <w:r w:rsidR="00F918DE" w:rsidRPr="00E80661">
        <w:t xml:space="preserve"> which had been requested by the Dutch Presidency of the Council, served as a basis for sh</w:t>
      </w:r>
      <w:r w:rsidR="00FE6D2F" w:rsidRPr="00E80661">
        <w:t xml:space="preserve">aping the content of the draft </w:t>
      </w:r>
      <w:r w:rsidR="00F918DE" w:rsidRPr="00E80661">
        <w:t>Pact of Amsterdam</w:t>
      </w:r>
      <w:r w:rsidR="00FE6D2F" w:rsidRPr="00E80661">
        <w:t xml:space="preserve"> </w:t>
      </w:r>
      <w:r w:rsidR="00F918DE" w:rsidRPr="00E80661">
        <w:t>establishing the Urban Agenda for the EU</w:t>
      </w:r>
      <w:r w:rsidR="00686B09" w:rsidRPr="00E80661">
        <w:rPr>
          <w:rStyle w:val="FootnoteReference"/>
        </w:rPr>
        <w:footnoteReference w:id="42"/>
      </w:r>
      <w:r w:rsidR="00F918DE" w:rsidRPr="00E80661">
        <w:t>. A number of CoR recommendations were taken on board in the final version of the Pact, such as</w:t>
      </w:r>
      <w:r w:rsidR="008A2606" w:rsidRPr="00E80661">
        <w:t>:</w:t>
      </w:r>
    </w:p>
    <w:p w14:paraId="5C55BCA8" w14:textId="2791068E" w:rsidR="008A2606" w:rsidRPr="00E80661" w:rsidRDefault="00C33E27" w:rsidP="00644601">
      <w:pPr>
        <w:pStyle w:val="ListParagraph"/>
        <w:numPr>
          <w:ilvl w:val="0"/>
          <w:numId w:val="29"/>
        </w:numPr>
        <w:overflowPunct/>
        <w:autoSpaceDE/>
        <w:autoSpaceDN/>
        <w:adjustRightInd/>
        <w:textAlignment w:val="auto"/>
      </w:pPr>
      <w:r w:rsidRPr="00E80661">
        <w:t xml:space="preserve">a stronger institutional role for the CoR is </w:t>
      </w:r>
      <w:r w:rsidR="007A1591" w:rsidRPr="00E80661">
        <w:t xml:space="preserve">envisaged </w:t>
      </w:r>
      <w:r w:rsidRPr="00E80661">
        <w:t>as it "invites the CoR as the Union's advisory body formally representing regions and municipalities at EU level, to contribute to the further development of the Urban Agenda of the EU"</w:t>
      </w:r>
      <w:r w:rsidR="007A1591" w:rsidRPr="00E80661">
        <w:t>;</w:t>
      </w:r>
    </w:p>
    <w:p w14:paraId="5C55BCA9" w14:textId="5840363A" w:rsidR="008A2606" w:rsidRPr="00E80661" w:rsidRDefault="00F918DE" w:rsidP="00644601">
      <w:pPr>
        <w:pStyle w:val="ListParagraph"/>
        <w:numPr>
          <w:ilvl w:val="0"/>
          <w:numId w:val="29"/>
        </w:numPr>
        <w:overflowPunct/>
        <w:autoSpaceDE/>
        <w:autoSpaceDN/>
        <w:adjustRightInd/>
        <w:textAlignment w:val="auto"/>
      </w:pPr>
      <w:r w:rsidRPr="00E80661">
        <w:t>the inclusion of a chapter on Member States, including the commitment to engage the relevant bodies at all levels of government in the implementation of the EU Urban Agenda</w:t>
      </w:r>
      <w:r w:rsidR="007A1591" w:rsidRPr="00E80661">
        <w:t>;</w:t>
      </w:r>
    </w:p>
    <w:p w14:paraId="5C55BCAA" w14:textId="77777777" w:rsidR="00E73C68" w:rsidRPr="00E80661" w:rsidRDefault="00F918DE" w:rsidP="00644601">
      <w:pPr>
        <w:pStyle w:val="ListParagraph"/>
        <w:numPr>
          <w:ilvl w:val="0"/>
          <w:numId w:val="29"/>
        </w:numPr>
        <w:overflowPunct/>
        <w:autoSpaceDE/>
        <w:autoSpaceDN/>
        <w:adjustRightInd/>
        <w:textAlignment w:val="auto"/>
      </w:pPr>
      <w:r w:rsidRPr="00E80661">
        <w:t>the call upon the European Commission to regularly report on the state of play of the EU Urban Agenda.</w:t>
      </w:r>
    </w:p>
    <w:p w14:paraId="5C55BCAB" w14:textId="77777777" w:rsidR="00686B09" w:rsidRPr="00E80661" w:rsidRDefault="00686B09" w:rsidP="00644601">
      <w:pPr>
        <w:pStyle w:val="ListParagraph"/>
        <w:overflowPunct/>
        <w:autoSpaceDE/>
        <w:autoSpaceDN/>
        <w:adjustRightInd/>
        <w:ind w:left="720"/>
        <w:textAlignment w:val="auto"/>
      </w:pPr>
    </w:p>
    <w:p w14:paraId="5C55BCAC" w14:textId="62C30B3E" w:rsidR="00F918DE" w:rsidRPr="00E80661" w:rsidRDefault="00E73C68" w:rsidP="00644601">
      <w:pPr>
        <w:pStyle w:val="ListParagraph"/>
        <w:overflowPunct/>
        <w:autoSpaceDE/>
        <w:autoSpaceDN/>
        <w:adjustRightInd/>
        <w:ind w:left="0"/>
        <w:textAlignment w:val="auto"/>
      </w:pPr>
      <w:r w:rsidRPr="00E80661">
        <w:rPr>
          <w:bCs/>
        </w:rPr>
        <w:t xml:space="preserve">In general terms, the CoR </w:t>
      </w:r>
      <w:r w:rsidRPr="00E80661">
        <w:t xml:space="preserve">is participating in the governance of the Urban Agenda at the highest level. </w:t>
      </w:r>
      <w:r w:rsidRPr="00E80661">
        <w:rPr>
          <w:bCs/>
        </w:rPr>
        <w:t xml:space="preserve">An overall assessment of the cities involved in </w:t>
      </w:r>
      <w:r w:rsidR="00B453EB" w:rsidRPr="00E80661">
        <w:rPr>
          <w:bCs/>
        </w:rPr>
        <w:t xml:space="preserve">12 </w:t>
      </w:r>
      <w:r w:rsidRPr="00E80661">
        <w:rPr>
          <w:bCs/>
        </w:rPr>
        <w:t>partnerships</w:t>
      </w:r>
      <w:r w:rsidR="00FE6D2F" w:rsidRPr="00E80661">
        <w:rPr>
          <w:rStyle w:val="FootnoteReference"/>
          <w:bCs/>
        </w:rPr>
        <w:footnoteReference w:id="43"/>
      </w:r>
      <w:r w:rsidRPr="00E80661">
        <w:rPr>
          <w:bCs/>
        </w:rPr>
        <w:t xml:space="preserve"> shows that a large</w:t>
      </w:r>
      <w:r w:rsidRPr="00E80661">
        <w:t xml:space="preserve"> number of CoR members' local and regional authorities </w:t>
      </w:r>
      <w:r w:rsidR="007A1591" w:rsidRPr="00E80661">
        <w:t xml:space="preserve">are </w:t>
      </w:r>
      <w:r w:rsidR="005D5785" w:rsidRPr="00E80661">
        <w:t xml:space="preserve">also </w:t>
      </w:r>
      <w:r w:rsidRPr="00E80661">
        <w:t>participating in the partnerships</w:t>
      </w:r>
      <w:r w:rsidR="00686B09" w:rsidRPr="00E80661">
        <w:t>.</w:t>
      </w:r>
    </w:p>
    <w:p w14:paraId="5C55BCAD" w14:textId="77777777" w:rsidR="008F258D" w:rsidRPr="00E80661" w:rsidRDefault="008F258D" w:rsidP="008F258D">
      <w:pPr>
        <w:overflowPunct/>
        <w:autoSpaceDE/>
        <w:autoSpaceDN/>
        <w:adjustRightInd/>
        <w:textAlignment w:val="auto"/>
      </w:pPr>
    </w:p>
    <w:p w14:paraId="5C55BCAE" w14:textId="6F93460D" w:rsidR="00F918DE" w:rsidRPr="00E80661" w:rsidRDefault="00F918DE" w:rsidP="008F258D">
      <w:pPr>
        <w:overflowPunct/>
        <w:autoSpaceDE/>
        <w:autoSpaceDN/>
        <w:adjustRightInd/>
        <w:textAlignment w:val="auto"/>
      </w:pPr>
      <w:r w:rsidRPr="00E80661">
        <w:t xml:space="preserve">On 24 June 2016, the General Affairs Council adopted the Council conclusions on an Urban Agenda for the EU. The Council </w:t>
      </w:r>
      <w:r w:rsidR="006D575A">
        <w:t>c</w:t>
      </w:r>
      <w:r w:rsidRPr="00E80661">
        <w:t>onclusions in particular invited the Committee of the Regions to provide input, within its competences, for the further development of the Urban Agenda.</w:t>
      </w:r>
    </w:p>
    <w:p w14:paraId="1FA97945" w14:textId="705C823E" w:rsidR="00684760" w:rsidRPr="00E80661" w:rsidRDefault="00DB2B62" w:rsidP="000D1B3F">
      <w:pPr>
        <w:spacing w:before="200" w:after="200"/>
      </w:pPr>
      <w:r w:rsidRPr="00E80661">
        <w:t xml:space="preserve">The </w:t>
      </w:r>
      <w:r w:rsidR="00447C9A" w:rsidRPr="00E80661">
        <w:t xml:space="preserve">UN Habitat III </w:t>
      </w:r>
      <w:r w:rsidRPr="00E80661">
        <w:t>"</w:t>
      </w:r>
      <w:r w:rsidR="005875BB" w:rsidRPr="00E80661">
        <w:t>New Urban Agenda" declaration</w:t>
      </w:r>
      <w:r w:rsidR="00663119" w:rsidRPr="00E80661">
        <w:rPr>
          <w:rStyle w:val="FootnoteReference"/>
        </w:rPr>
        <w:footnoteReference w:id="44"/>
      </w:r>
      <w:r w:rsidRPr="00E80661">
        <w:t xml:space="preserve"> </w:t>
      </w:r>
      <w:r w:rsidR="00447C9A" w:rsidRPr="00E80661">
        <w:t xml:space="preserve">also </w:t>
      </w:r>
      <w:r w:rsidRPr="00E80661">
        <w:t>took into consider</w:t>
      </w:r>
      <w:r w:rsidR="00663119" w:rsidRPr="00E80661">
        <w:t>ation the main messages of the o</w:t>
      </w:r>
      <w:r w:rsidRPr="00E80661">
        <w:t>pinion</w:t>
      </w:r>
      <w:r w:rsidR="00447C9A" w:rsidRPr="00E80661">
        <w:t xml:space="preserve"> </w:t>
      </w:r>
      <w:r w:rsidR="00663119" w:rsidRPr="00E80661">
        <w:t xml:space="preserve">on </w:t>
      </w:r>
      <w:r w:rsidR="00447C9A" w:rsidRPr="00E80661">
        <w:t>Concrete steps for implementing the EU Urban Agenda</w:t>
      </w:r>
      <w:r w:rsidR="00663119" w:rsidRPr="00E80661">
        <w:t xml:space="preserve">. </w:t>
      </w:r>
      <w:r w:rsidR="00447C9A" w:rsidRPr="00E80661">
        <w:t>T</w:t>
      </w:r>
      <w:r w:rsidRPr="00E80661">
        <w:t>he final version of the Declaration recognised the holistic and integrated approach for a New Urban Agenda, as well as the relevance of international cooperation and exchanges between regional and local authorities to promote sustainable economic development</w:t>
      </w:r>
      <w:r w:rsidR="006B7EC7" w:rsidRPr="00E80661">
        <w:t xml:space="preserve"> as well as</w:t>
      </w:r>
      <w:r w:rsidRPr="00E80661">
        <w:t xml:space="preserve"> social</w:t>
      </w:r>
      <w:r w:rsidR="00547FD0" w:rsidRPr="00E80661">
        <w:t xml:space="preserve"> and environmental protection.</w:t>
      </w:r>
      <w:r w:rsidR="00684760" w:rsidRPr="00E80661">
        <w:br w:type="page"/>
      </w:r>
    </w:p>
    <w:p w14:paraId="5C55BCB1" w14:textId="77777777" w:rsidR="00383150" w:rsidRPr="00E80661" w:rsidRDefault="00383150">
      <w:pPr>
        <w:pStyle w:val="Heading1"/>
        <w:rPr>
          <w:b/>
          <w:szCs w:val="22"/>
        </w:rPr>
      </w:pPr>
      <w:bookmarkStart w:id="42" w:name="_Toc386201056"/>
      <w:r w:rsidRPr="00E80661">
        <w:rPr>
          <w:b/>
          <w:szCs w:val="22"/>
        </w:rPr>
        <w:t xml:space="preserve"> </w:t>
      </w:r>
      <w:bookmarkStart w:id="43" w:name="_Toc386201057"/>
      <w:bookmarkStart w:id="44" w:name="_Toc418860752"/>
      <w:bookmarkStart w:id="45" w:name="_Toc486243283"/>
      <w:bookmarkStart w:id="46" w:name="_Toc485373835"/>
      <w:bookmarkEnd w:id="42"/>
      <w:r w:rsidR="001C2342" w:rsidRPr="00E80661">
        <w:rPr>
          <w:b/>
          <w:szCs w:val="22"/>
        </w:rPr>
        <w:t xml:space="preserve">Transport and </w:t>
      </w:r>
      <w:bookmarkEnd w:id="43"/>
      <w:bookmarkEnd w:id="44"/>
      <w:r w:rsidR="001C2342" w:rsidRPr="00E80661">
        <w:rPr>
          <w:b/>
          <w:szCs w:val="22"/>
        </w:rPr>
        <w:t>Mobility</w:t>
      </w:r>
      <w:bookmarkEnd w:id="45"/>
      <w:bookmarkEnd w:id="46"/>
    </w:p>
    <w:p w14:paraId="5C55BCB2" w14:textId="77777777" w:rsidR="00584420" w:rsidRPr="00E80661" w:rsidRDefault="00584420" w:rsidP="00584420">
      <w:pPr>
        <w:suppressAutoHyphens/>
        <w:adjustRightInd/>
        <w:rPr>
          <w:szCs w:val="22"/>
        </w:rPr>
      </w:pPr>
    </w:p>
    <w:p w14:paraId="5C55BCB3" w14:textId="0CCCA0B6" w:rsidR="00584420" w:rsidRPr="00E80661" w:rsidRDefault="00584420" w:rsidP="00584420">
      <w:pPr>
        <w:suppressAutoHyphens/>
        <w:adjustRightInd/>
        <w:rPr>
          <w:szCs w:val="22"/>
        </w:rPr>
      </w:pPr>
      <w:r w:rsidRPr="00E80661">
        <w:rPr>
          <w:szCs w:val="22"/>
        </w:rPr>
        <w:t>In 2016</w:t>
      </w:r>
      <w:r w:rsidR="000D1B3F" w:rsidRPr="00E80661">
        <w:rPr>
          <w:szCs w:val="22"/>
        </w:rPr>
        <w:t>,</w:t>
      </w:r>
      <w:r w:rsidRPr="00E80661">
        <w:rPr>
          <w:szCs w:val="22"/>
        </w:rPr>
        <w:t xml:space="preserve"> the CoR</w:t>
      </w:r>
      <w:r w:rsidR="000D1B3F" w:rsidRPr="00E80661">
        <w:rPr>
          <w:szCs w:val="22"/>
        </w:rPr>
        <w:t>'s</w:t>
      </w:r>
      <w:r w:rsidRPr="00E80661">
        <w:rPr>
          <w:szCs w:val="22"/>
        </w:rPr>
        <w:t xml:space="preserve"> impact on transport policy </w:t>
      </w:r>
      <w:r w:rsidR="00FE31EB" w:rsidRPr="00E80661">
        <w:rPr>
          <w:szCs w:val="22"/>
        </w:rPr>
        <w:t xml:space="preserve">was </w:t>
      </w:r>
      <w:r w:rsidRPr="00E80661">
        <w:rPr>
          <w:szCs w:val="22"/>
        </w:rPr>
        <w:t xml:space="preserve">mainly </w:t>
      </w:r>
      <w:r w:rsidR="00E25D6A">
        <w:rPr>
          <w:szCs w:val="22"/>
        </w:rPr>
        <w:t xml:space="preserve">focused </w:t>
      </w:r>
      <w:r w:rsidRPr="00E80661">
        <w:rPr>
          <w:szCs w:val="22"/>
        </w:rPr>
        <w:t xml:space="preserve">on: the </w:t>
      </w:r>
      <w:r w:rsidR="00E25D6A">
        <w:rPr>
          <w:szCs w:val="22"/>
        </w:rPr>
        <w:t>F</w:t>
      </w:r>
      <w:r w:rsidRPr="00E80661">
        <w:rPr>
          <w:szCs w:val="22"/>
        </w:rPr>
        <w:t>o</w:t>
      </w:r>
      <w:r w:rsidR="00FE31EB" w:rsidRPr="00E80661">
        <w:rPr>
          <w:szCs w:val="22"/>
        </w:rPr>
        <w:t>u</w:t>
      </w:r>
      <w:r w:rsidRPr="00E80661">
        <w:rPr>
          <w:szCs w:val="22"/>
        </w:rPr>
        <w:t xml:space="preserve">rth </w:t>
      </w:r>
      <w:r w:rsidR="00BD5E38">
        <w:rPr>
          <w:szCs w:val="22"/>
        </w:rPr>
        <w:t>r</w:t>
      </w:r>
      <w:r w:rsidRPr="00E80661">
        <w:rPr>
          <w:szCs w:val="22"/>
        </w:rPr>
        <w:t>ailway package, missing transport links and the ports policy.</w:t>
      </w:r>
    </w:p>
    <w:p w14:paraId="5C55BCB4" w14:textId="77777777" w:rsidR="00584420" w:rsidRPr="00E80661" w:rsidRDefault="00584420" w:rsidP="00584420"/>
    <w:p w14:paraId="5C55BCB5" w14:textId="77777777" w:rsidR="008B6DC9" w:rsidRPr="00E80661" w:rsidRDefault="008B6DC9" w:rsidP="008B6DC9">
      <w:pPr>
        <w:rPr>
          <w:b/>
        </w:rPr>
      </w:pPr>
      <w:r w:rsidRPr="00E80661">
        <w:rPr>
          <w:b/>
        </w:rPr>
        <w:t>3.1.</w:t>
      </w:r>
      <w:r w:rsidRPr="00E80661">
        <w:rPr>
          <w:b/>
        </w:rPr>
        <w:tab/>
        <w:t>Missing transport links</w:t>
      </w:r>
    </w:p>
    <w:p w14:paraId="5C55BCB6" w14:textId="77777777" w:rsidR="008B6DC9" w:rsidRPr="00E80661" w:rsidRDefault="008B6DC9" w:rsidP="008B6DC9"/>
    <w:p w14:paraId="5C55BCB9" w14:textId="66600E47" w:rsidR="00514C50" w:rsidRPr="00E80661" w:rsidRDefault="00514C50" w:rsidP="00514C50">
      <w:r w:rsidRPr="00E80661">
        <w:t xml:space="preserve">The missing links initiative is a good example of the possible outcome of interinstitutional cooperation between the CoR, the European Parliament and the European Commission. The "missing links" problem was the main issue of discussion at the first joint meeting of EP TRAN Committee and the </w:t>
      </w:r>
      <w:r w:rsidR="00EF5AF7">
        <w:t xml:space="preserve">CoR's </w:t>
      </w:r>
      <w:r w:rsidRPr="00E80661">
        <w:t xml:space="preserve">COTER </w:t>
      </w:r>
      <w:r w:rsidR="00EF5AF7">
        <w:t>c</w:t>
      </w:r>
      <w:r w:rsidRPr="00E80661">
        <w:t>ommission taking place on 29 September 2016.</w:t>
      </w:r>
      <w:r w:rsidRPr="00E80661">
        <w:br/>
      </w:r>
    </w:p>
    <w:p w14:paraId="5C55BCBA" w14:textId="00C207FB" w:rsidR="00514C50" w:rsidRPr="00E80661" w:rsidRDefault="00514C50" w:rsidP="00514C50">
      <w:r w:rsidRPr="00E80661">
        <w:t xml:space="preserve">As the result of the interinstitutional </w:t>
      </w:r>
      <w:r w:rsidR="00E80661" w:rsidRPr="00E80661">
        <w:t>cooperation</w:t>
      </w:r>
      <w:r w:rsidRPr="00E80661">
        <w:t xml:space="preserve"> on the missing links initiative and the opinion on </w:t>
      </w:r>
      <w:r w:rsidRPr="00E80661">
        <w:rPr>
          <w:b/>
          <w:szCs w:val="22"/>
        </w:rPr>
        <w:t>Missing transport links in border regions</w:t>
      </w:r>
      <w:r w:rsidR="004A318D" w:rsidRPr="00E80661">
        <w:rPr>
          <w:rStyle w:val="FootnoteReference"/>
          <w:szCs w:val="22"/>
        </w:rPr>
        <w:footnoteReference w:id="45"/>
      </w:r>
      <w:r w:rsidRPr="00E80661">
        <w:t>, the European Commission</w:t>
      </w:r>
      <w:r w:rsidR="005B3F21" w:rsidRPr="00E80661">
        <w:t xml:space="preserve">'s </w:t>
      </w:r>
      <w:r w:rsidRPr="00E80661">
        <w:t xml:space="preserve">DG MOVE proposed an amendment to the CEF Transport Annual Work Programme 2016. The general envelope now includes </w:t>
      </w:r>
      <w:r w:rsidR="005B3F21" w:rsidRPr="00E80661">
        <w:t xml:space="preserve">EUR </w:t>
      </w:r>
      <w:r w:rsidRPr="00E80661">
        <w:t>110 million for projects on small cross</w:t>
      </w:r>
      <w:r w:rsidR="005B3F21" w:rsidRPr="00E80661">
        <w:t>-</w:t>
      </w:r>
      <w:r w:rsidRPr="00E80661">
        <w:t>border projects</w:t>
      </w:r>
      <w:r w:rsidR="007B48D3" w:rsidRPr="00E80661">
        <w:t xml:space="preserve"> </w:t>
      </w:r>
      <w:r w:rsidR="005B3F21" w:rsidRPr="00E80661">
        <w:t xml:space="preserve">to bridge </w:t>
      </w:r>
      <w:r w:rsidR="007B48D3" w:rsidRPr="00E80661">
        <w:t>missing links</w:t>
      </w:r>
      <w:r w:rsidRPr="00E80661">
        <w:t>.</w:t>
      </w:r>
    </w:p>
    <w:p w14:paraId="5C55BCBC" w14:textId="77777777" w:rsidR="00C93200" w:rsidRPr="00E80661" w:rsidRDefault="00C93200" w:rsidP="00514C50"/>
    <w:p w14:paraId="5C55BCBD" w14:textId="77777777" w:rsidR="00514C50" w:rsidRPr="00E80661" w:rsidRDefault="008B6DC9" w:rsidP="00644601">
      <w:pPr>
        <w:pStyle w:val="Heading2"/>
        <w:numPr>
          <w:ilvl w:val="0"/>
          <w:numId w:val="0"/>
        </w:numPr>
        <w:rPr>
          <w:b/>
        </w:rPr>
      </w:pPr>
      <w:bookmarkStart w:id="47" w:name="_Toc486243284"/>
      <w:bookmarkStart w:id="48" w:name="_Toc485373836"/>
      <w:r w:rsidRPr="00E80661">
        <w:rPr>
          <w:b/>
        </w:rPr>
        <w:t>3.2</w:t>
      </w:r>
      <w:r w:rsidRPr="00E80661">
        <w:rPr>
          <w:b/>
        </w:rPr>
        <w:tab/>
      </w:r>
      <w:r w:rsidR="00514C50" w:rsidRPr="00E80661">
        <w:rPr>
          <w:b/>
        </w:rPr>
        <w:t>Railway policy</w:t>
      </w:r>
      <w:bookmarkEnd w:id="47"/>
      <w:bookmarkEnd w:id="48"/>
    </w:p>
    <w:p w14:paraId="5C55BCBE" w14:textId="77777777" w:rsidR="00514C50" w:rsidRPr="00E80661" w:rsidRDefault="00514C50" w:rsidP="00514C50">
      <w:pPr>
        <w:suppressAutoHyphens/>
        <w:adjustRightInd/>
      </w:pPr>
    </w:p>
    <w:tbl>
      <w:tblPr>
        <w:tblStyle w:val="TableGrid"/>
        <w:tblW w:w="0" w:type="auto"/>
        <w:shd w:val="clear" w:color="auto" w:fill="BFBFBF" w:themeFill="background1" w:themeFillShade="BF"/>
        <w:tblLook w:val="04A0" w:firstRow="1" w:lastRow="0" w:firstColumn="1" w:lastColumn="0" w:noHBand="0" w:noVBand="1"/>
      </w:tblPr>
      <w:tblGrid>
        <w:gridCol w:w="9242"/>
      </w:tblGrid>
      <w:tr w:rsidR="00F508A6" w:rsidRPr="00E80661" w14:paraId="5C55BCD4" w14:textId="77777777" w:rsidTr="00471354">
        <w:tc>
          <w:tcPr>
            <w:tcW w:w="9242" w:type="dxa"/>
            <w:shd w:val="clear" w:color="auto" w:fill="BFBFBF" w:themeFill="background1" w:themeFillShade="BF"/>
          </w:tcPr>
          <w:p w14:paraId="5C55BCBF" w14:textId="5CADEA08" w:rsidR="00F508A6" w:rsidRPr="00E80661" w:rsidRDefault="00F508A6" w:rsidP="00644601">
            <w:pPr>
              <w:pStyle w:val="ListParagraph"/>
              <w:numPr>
                <w:ilvl w:val="0"/>
                <w:numId w:val="51"/>
              </w:numPr>
              <w:suppressAutoHyphens/>
              <w:adjustRightInd/>
              <w:rPr>
                <w:color w:val="000000"/>
              </w:rPr>
            </w:pPr>
            <w:r w:rsidRPr="00E80661">
              <w:rPr>
                <w:color w:val="000000"/>
              </w:rPr>
              <w:t>The CoR opinion on</w:t>
            </w:r>
            <w:r w:rsidRPr="00E80661">
              <w:rPr>
                <w:b/>
                <w:color w:val="000000"/>
              </w:rPr>
              <w:t xml:space="preserve"> The Fourth railway package</w:t>
            </w:r>
            <w:r w:rsidRPr="00644601">
              <w:footnoteReference w:id="46"/>
            </w:r>
            <w:r w:rsidR="00A11B44" w:rsidRPr="00E80661">
              <w:rPr>
                <w:b/>
                <w:color w:val="000000"/>
              </w:rPr>
              <w:t xml:space="preserve"> </w:t>
            </w:r>
            <w:r w:rsidR="00A11B44" w:rsidRPr="00E80661">
              <w:rPr>
                <w:color w:val="000000"/>
              </w:rPr>
              <w:t xml:space="preserve">advocated </w:t>
            </w:r>
            <w:r w:rsidRPr="00E80661">
              <w:rPr>
                <w:color w:val="000000"/>
              </w:rPr>
              <w:t xml:space="preserve">a stronger role for the European Railway Agency as a one-stop shop for decisions on vehicles and safety certificates for railway companies, whilst allowing the option of </w:t>
            </w:r>
            <w:r w:rsidR="00A11B44" w:rsidRPr="00E80661">
              <w:rPr>
                <w:color w:val="000000"/>
              </w:rPr>
              <w:t xml:space="preserve">an authorisation by national safety authorities for </w:t>
            </w:r>
            <w:r w:rsidRPr="00E80661">
              <w:rPr>
                <w:color w:val="000000"/>
              </w:rPr>
              <w:t xml:space="preserve">vehicles that are only to be used within </w:t>
            </w:r>
            <w:r w:rsidR="0009278A" w:rsidRPr="00E80661">
              <w:rPr>
                <w:color w:val="000000"/>
              </w:rPr>
              <w:t xml:space="preserve">that </w:t>
            </w:r>
            <w:r w:rsidRPr="00E80661">
              <w:rPr>
                <w:color w:val="000000"/>
              </w:rPr>
              <w:t xml:space="preserve">country, </w:t>
            </w:r>
            <w:r w:rsidR="00A11B44" w:rsidRPr="00E80661">
              <w:rPr>
                <w:color w:val="000000"/>
              </w:rPr>
              <w:t xml:space="preserve">which </w:t>
            </w:r>
            <w:r w:rsidRPr="00E80661">
              <w:rPr>
                <w:color w:val="000000"/>
              </w:rPr>
              <w:t xml:space="preserve">was taken into account in the final acts under the technical pillar of the </w:t>
            </w:r>
            <w:r w:rsidR="00A11B44" w:rsidRPr="00E80661">
              <w:rPr>
                <w:color w:val="000000"/>
              </w:rPr>
              <w:t xml:space="preserve">Fourth </w:t>
            </w:r>
            <w:r w:rsidR="00BD5E38">
              <w:rPr>
                <w:color w:val="000000"/>
              </w:rPr>
              <w:t>r</w:t>
            </w:r>
            <w:r w:rsidR="00A11B44" w:rsidRPr="00E80661">
              <w:rPr>
                <w:color w:val="000000"/>
              </w:rPr>
              <w:t xml:space="preserve">ailway </w:t>
            </w:r>
            <w:r w:rsidRPr="00E80661">
              <w:rPr>
                <w:color w:val="000000"/>
              </w:rPr>
              <w:t>package</w:t>
            </w:r>
            <w:r w:rsidR="00CB1ABD" w:rsidRPr="00644601">
              <w:rPr>
                <w:rStyle w:val="FootnoteReference"/>
                <w:color w:val="000000"/>
              </w:rPr>
              <w:footnoteReference w:id="47"/>
            </w:r>
            <w:r w:rsidRPr="00E80661">
              <w:rPr>
                <w:color w:val="000000"/>
              </w:rPr>
              <w:t>.</w:t>
            </w:r>
          </w:p>
          <w:p w14:paraId="5C55BCC0" w14:textId="16F8196D" w:rsidR="00F508A6" w:rsidRPr="00E80661" w:rsidRDefault="00CB1ABD" w:rsidP="00644601">
            <w:pPr>
              <w:pStyle w:val="ListParagraph"/>
              <w:numPr>
                <w:ilvl w:val="0"/>
                <w:numId w:val="51"/>
              </w:numPr>
              <w:suppressAutoHyphens/>
              <w:adjustRightInd/>
              <w:rPr>
                <w:color w:val="000000"/>
              </w:rPr>
            </w:pPr>
            <w:r w:rsidRPr="00E80661">
              <w:rPr>
                <w:color w:val="000000"/>
              </w:rPr>
              <w:t>The</w:t>
            </w:r>
            <w:r w:rsidR="00F508A6" w:rsidRPr="00E80661">
              <w:rPr>
                <w:color w:val="000000"/>
              </w:rPr>
              <w:t xml:space="preserve"> CoR opinion underline</w:t>
            </w:r>
            <w:r w:rsidR="00A11B44" w:rsidRPr="00E80661">
              <w:rPr>
                <w:color w:val="000000"/>
              </w:rPr>
              <w:t>d</w:t>
            </w:r>
            <w:r w:rsidR="00F508A6" w:rsidRPr="00E80661">
              <w:rPr>
                <w:color w:val="000000"/>
              </w:rPr>
              <w:t xml:space="preserve"> the </w:t>
            </w:r>
            <w:r w:rsidR="00F508A6" w:rsidRPr="00E80661">
              <w:rPr>
                <w:b/>
                <w:color w:val="000000"/>
              </w:rPr>
              <w:t>principle of free administration</w:t>
            </w:r>
            <w:r w:rsidR="00F508A6" w:rsidRPr="00E80661">
              <w:rPr>
                <w:color w:val="000000"/>
              </w:rPr>
              <w:t>, which enables local authorities to decide how they want to organise their public transport services</w:t>
            </w:r>
            <w:r w:rsidR="00A11B44" w:rsidRPr="00E80661">
              <w:rPr>
                <w:color w:val="000000"/>
              </w:rPr>
              <w:t xml:space="preserve">, and </w:t>
            </w:r>
            <w:r w:rsidR="00F508A6" w:rsidRPr="00E80661">
              <w:rPr>
                <w:color w:val="000000"/>
              </w:rPr>
              <w:t>insisted that Article 5</w:t>
            </w:r>
            <w:r w:rsidR="0009278A" w:rsidRPr="00E80661">
              <w:rPr>
                <w:color w:val="000000"/>
              </w:rPr>
              <w:t>(</w:t>
            </w:r>
            <w:r w:rsidR="00F508A6" w:rsidRPr="00E80661">
              <w:rPr>
                <w:color w:val="000000"/>
              </w:rPr>
              <w:t>2</w:t>
            </w:r>
            <w:r w:rsidR="0009278A" w:rsidRPr="00E80661">
              <w:rPr>
                <w:color w:val="000000"/>
              </w:rPr>
              <w:t>)</w:t>
            </w:r>
            <w:r w:rsidR="00F508A6" w:rsidRPr="00E80661">
              <w:rPr>
                <w:color w:val="000000"/>
              </w:rPr>
              <w:t xml:space="preserve"> of the existing Regulation (EC) 1370/2007 must not be called into question. The final text of </w:t>
            </w:r>
            <w:r w:rsidR="00F508A6" w:rsidRPr="00E80661">
              <w:rPr>
                <w:b/>
                <w:color w:val="000000"/>
              </w:rPr>
              <w:t xml:space="preserve">Regulation </w:t>
            </w:r>
            <w:r w:rsidR="00A11B44" w:rsidRPr="00E80661">
              <w:rPr>
                <w:b/>
                <w:color w:val="000000"/>
              </w:rPr>
              <w:t>(EU) 2016/2338</w:t>
            </w:r>
            <w:r w:rsidRPr="00644601">
              <w:rPr>
                <w:rStyle w:val="FootnoteReference"/>
                <w:b/>
                <w:color w:val="000000"/>
              </w:rPr>
              <w:footnoteReference w:id="48"/>
            </w:r>
            <w:r w:rsidR="00A11B44" w:rsidRPr="00E80661">
              <w:rPr>
                <w:color w:val="000000"/>
              </w:rPr>
              <w:t xml:space="preserve"> </w:t>
            </w:r>
            <w:r w:rsidR="00A11B44" w:rsidRPr="00E80661">
              <w:rPr>
                <w:b/>
                <w:color w:val="000000"/>
              </w:rPr>
              <w:t>maintains</w:t>
            </w:r>
            <w:r w:rsidR="00F508A6" w:rsidRPr="00E80661">
              <w:rPr>
                <w:b/>
                <w:color w:val="000000"/>
              </w:rPr>
              <w:t xml:space="preserve"> this core </w:t>
            </w:r>
            <w:r w:rsidR="00A11B44" w:rsidRPr="00E80661">
              <w:rPr>
                <w:b/>
                <w:color w:val="000000"/>
              </w:rPr>
              <w:t>provision</w:t>
            </w:r>
            <w:r w:rsidR="00A11B44" w:rsidRPr="00E80661">
              <w:rPr>
                <w:color w:val="000000"/>
              </w:rPr>
              <w:t>.</w:t>
            </w:r>
          </w:p>
          <w:p w14:paraId="5C55BCC1" w14:textId="7D15972B" w:rsidR="00F508A6" w:rsidRPr="00E80661" w:rsidRDefault="00F508A6" w:rsidP="00644601">
            <w:pPr>
              <w:pStyle w:val="ListParagraph"/>
              <w:numPr>
                <w:ilvl w:val="0"/>
                <w:numId w:val="51"/>
              </w:numPr>
              <w:suppressAutoHyphens/>
              <w:adjustRightInd/>
              <w:rPr>
                <w:color w:val="000000"/>
              </w:rPr>
            </w:pPr>
            <w:r w:rsidRPr="00E80661">
              <w:rPr>
                <w:color w:val="000000"/>
              </w:rPr>
              <w:t xml:space="preserve">Regulation </w:t>
            </w:r>
            <w:r w:rsidR="00A11B44" w:rsidRPr="00E80661">
              <w:rPr>
                <w:color w:val="000000"/>
              </w:rPr>
              <w:t>(EU) 2016/2338</w:t>
            </w:r>
            <w:r w:rsidR="00A11B44" w:rsidRPr="00E80661">
              <w:rPr>
                <w:b/>
                <w:color w:val="000000"/>
              </w:rPr>
              <w:t xml:space="preserve"> </w:t>
            </w:r>
            <w:r w:rsidR="00A11B44" w:rsidRPr="00E80661">
              <w:rPr>
                <w:color w:val="000000"/>
              </w:rPr>
              <w:t xml:space="preserve">also takes on board the recommendation </w:t>
            </w:r>
            <w:r w:rsidR="002103A8">
              <w:rPr>
                <w:color w:val="000000"/>
              </w:rPr>
              <w:t>in</w:t>
            </w:r>
            <w:r w:rsidR="002103A8" w:rsidRPr="00E80661">
              <w:rPr>
                <w:color w:val="000000"/>
              </w:rPr>
              <w:t xml:space="preserve"> </w:t>
            </w:r>
            <w:r w:rsidR="00A11B44" w:rsidRPr="00E80661">
              <w:rPr>
                <w:color w:val="000000"/>
              </w:rPr>
              <w:t>the</w:t>
            </w:r>
            <w:r w:rsidRPr="00E80661">
              <w:rPr>
                <w:color w:val="000000"/>
              </w:rPr>
              <w:t xml:space="preserve"> CoR opinion </w:t>
            </w:r>
            <w:r w:rsidR="00A11B44" w:rsidRPr="00E80661">
              <w:rPr>
                <w:color w:val="000000"/>
              </w:rPr>
              <w:t xml:space="preserve">to </w:t>
            </w:r>
            <w:r w:rsidR="00A11B44" w:rsidRPr="00E80661">
              <w:rPr>
                <w:b/>
                <w:color w:val="000000"/>
              </w:rPr>
              <w:t xml:space="preserve">increase </w:t>
            </w:r>
            <w:r w:rsidRPr="00E80661">
              <w:rPr>
                <w:b/>
                <w:color w:val="000000"/>
              </w:rPr>
              <w:t>the ceilings for direct award</w:t>
            </w:r>
            <w:r w:rsidR="00A11B44" w:rsidRPr="00E80661">
              <w:rPr>
                <w:b/>
                <w:color w:val="000000"/>
              </w:rPr>
              <w:t>ing</w:t>
            </w:r>
            <w:r w:rsidRPr="00E80661">
              <w:rPr>
                <w:b/>
                <w:color w:val="000000"/>
              </w:rPr>
              <w:t xml:space="preserve"> </w:t>
            </w:r>
            <w:r w:rsidR="00A11B44" w:rsidRPr="00E80661">
              <w:rPr>
                <w:b/>
                <w:color w:val="000000"/>
              </w:rPr>
              <w:t>of public service contracts for public transport by rail</w:t>
            </w:r>
            <w:r w:rsidR="00A11B44" w:rsidRPr="00E80661">
              <w:rPr>
                <w:color w:val="000000"/>
              </w:rPr>
              <w:t xml:space="preserve"> </w:t>
            </w:r>
            <w:r w:rsidR="00A11B44" w:rsidRPr="00E80661">
              <w:rPr>
                <w:b/>
                <w:color w:val="000000"/>
              </w:rPr>
              <w:t>to 500</w:t>
            </w:r>
            <w:r w:rsidR="0009278A" w:rsidRPr="00E80661">
              <w:rPr>
                <w:b/>
                <w:color w:val="000000"/>
              </w:rPr>
              <w:t> </w:t>
            </w:r>
            <w:r w:rsidR="00A11B44" w:rsidRPr="00E80661">
              <w:rPr>
                <w:b/>
                <w:color w:val="000000"/>
              </w:rPr>
              <w:t>000 km</w:t>
            </w:r>
            <w:r w:rsidR="00A11B44" w:rsidRPr="00E80661">
              <w:rPr>
                <w:color w:val="000000"/>
              </w:rPr>
              <w:t xml:space="preserve">, instead of </w:t>
            </w:r>
            <w:r w:rsidRPr="00E80661">
              <w:rPr>
                <w:color w:val="000000"/>
              </w:rPr>
              <w:t>the European Commission</w:t>
            </w:r>
            <w:r w:rsidR="00A11B44" w:rsidRPr="00E80661">
              <w:rPr>
                <w:color w:val="000000"/>
              </w:rPr>
              <w:t>'s initial proposal of 150</w:t>
            </w:r>
            <w:r w:rsidR="0009278A" w:rsidRPr="00E80661">
              <w:rPr>
                <w:color w:val="000000"/>
              </w:rPr>
              <w:t> </w:t>
            </w:r>
            <w:r w:rsidR="00A11B44" w:rsidRPr="00E80661">
              <w:rPr>
                <w:color w:val="000000"/>
              </w:rPr>
              <w:t>000 km,</w:t>
            </w:r>
            <w:r w:rsidRPr="00E80661">
              <w:rPr>
                <w:color w:val="000000"/>
              </w:rPr>
              <w:t xml:space="preserve"> </w:t>
            </w:r>
            <w:r w:rsidR="00A11B44" w:rsidRPr="00E80661">
              <w:rPr>
                <w:color w:val="000000"/>
              </w:rPr>
              <w:t>which would have limited</w:t>
            </w:r>
            <w:r w:rsidR="00A11B44" w:rsidRPr="00E80661" w:rsidDel="00A11B44">
              <w:rPr>
                <w:color w:val="000000"/>
              </w:rPr>
              <w:t xml:space="preserve"> </w:t>
            </w:r>
            <w:r w:rsidRPr="00E80661">
              <w:rPr>
                <w:color w:val="000000"/>
              </w:rPr>
              <w:t>the principle of local and regional authority free administration.</w:t>
            </w:r>
          </w:p>
          <w:p w14:paraId="5C55BCC2" w14:textId="40553BD1" w:rsidR="00F508A6" w:rsidRPr="00E80661" w:rsidRDefault="00F508A6" w:rsidP="00644601">
            <w:pPr>
              <w:pStyle w:val="ListParagraph"/>
              <w:numPr>
                <w:ilvl w:val="0"/>
                <w:numId w:val="51"/>
              </w:numPr>
              <w:suppressAutoHyphens/>
              <w:adjustRightInd/>
              <w:rPr>
                <w:color w:val="000000"/>
              </w:rPr>
            </w:pPr>
            <w:r w:rsidRPr="00E80661">
              <w:rPr>
                <w:color w:val="000000"/>
              </w:rPr>
              <w:t>In line with the CoR position</w:t>
            </w:r>
            <w:r w:rsidR="00A11B44" w:rsidRPr="00E80661">
              <w:rPr>
                <w:color w:val="000000"/>
              </w:rPr>
              <w:t xml:space="preserve"> on the matter</w:t>
            </w:r>
            <w:r w:rsidRPr="00E80661">
              <w:rPr>
                <w:color w:val="000000"/>
              </w:rPr>
              <w:t xml:space="preserve">, </w:t>
            </w:r>
            <w:r w:rsidR="00A11B44" w:rsidRPr="00E80661">
              <w:rPr>
                <w:b/>
                <w:color w:val="000000"/>
              </w:rPr>
              <w:t>Directive (EU) 2016/2370</w:t>
            </w:r>
            <w:r w:rsidRPr="00644601">
              <w:footnoteReference w:id="49"/>
            </w:r>
            <w:r w:rsidRPr="00E80661">
              <w:rPr>
                <w:color w:val="000000"/>
              </w:rPr>
              <w:t xml:space="preserve"> </w:t>
            </w:r>
            <w:r w:rsidR="00A11B44" w:rsidRPr="00E80661">
              <w:rPr>
                <w:color w:val="000000"/>
              </w:rPr>
              <w:t>allows</w:t>
            </w:r>
            <w:r w:rsidRPr="00E80661">
              <w:rPr>
                <w:color w:val="000000"/>
              </w:rPr>
              <w:t xml:space="preserve"> Member States to </w:t>
            </w:r>
            <w:r w:rsidRPr="00E80661">
              <w:rPr>
                <w:b/>
                <w:color w:val="000000"/>
              </w:rPr>
              <w:t>choose between different organisational models, subject to appropriate safeguards to ensure the impartiality of the infrastructure manager</w:t>
            </w:r>
            <w:r w:rsidRPr="00E80661">
              <w:rPr>
                <w:color w:val="000000"/>
              </w:rPr>
              <w:t xml:space="preserve"> as regards the essential functions, traffic management and maintenance planning.</w:t>
            </w:r>
          </w:p>
          <w:p w14:paraId="5C55BCC3" w14:textId="77777777" w:rsidR="00F508A6" w:rsidRPr="00E80661" w:rsidRDefault="00F508A6" w:rsidP="00F508A6">
            <w:pPr>
              <w:suppressAutoHyphens/>
              <w:adjustRightInd/>
              <w:rPr>
                <w:color w:val="000000"/>
              </w:rPr>
            </w:pPr>
          </w:p>
          <w:p w14:paraId="5C55BCC4" w14:textId="77777777" w:rsidR="00F508A6" w:rsidRPr="00E80661" w:rsidRDefault="00F508A6" w:rsidP="00F508A6">
            <w:pPr>
              <w:suppressAutoHyphens/>
              <w:adjustRightInd/>
              <w:rPr>
                <w:color w:val="000000"/>
              </w:rPr>
            </w:pPr>
            <w:r w:rsidRPr="00E80661">
              <w:rPr>
                <w:color w:val="000000"/>
              </w:rPr>
              <w:t>A comparison between the CoR opinion and the final texts shows that a number of CoR recommendations for legislative amendments have been taken on board:</w:t>
            </w:r>
          </w:p>
          <w:p w14:paraId="5C55BCC5" w14:textId="77777777" w:rsidR="00F508A6" w:rsidRPr="00E80661" w:rsidRDefault="00F508A6" w:rsidP="00F508A6">
            <w:pPr>
              <w:suppressAutoHyphens/>
              <w:adjustRightInd/>
              <w:rPr>
                <w:color w:val="000000"/>
              </w:rPr>
            </w:pPr>
          </w:p>
          <w:p w14:paraId="5C55BCC6" w14:textId="7A82C05C" w:rsidR="00F508A6" w:rsidRPr="00E80661" w:rsidRDefault="00CB1ABD" w:rsidP="00F508A6">
            <w:pPr>
              <w:suppressAutoHyphens/>
              <w:adjustRightInd/>
              <w:rPr>
                <w:color w:val="000000"/>
                <w:u w:val="single"/>
              </w:rPr>
            </w:pPr>
            <w:r w:rsidRPr="00E80661">
              <w:rPr>
                <w:color w:val="000000"/>
                <w:u w:val="single"/>
              </w:rPr>
              <w:t>Regulation (EU) 2016/2338 (</w:t>
            </w:r>
            <w:r w:rsidR="00F508A6" w:rsidRPr="00E80661">
              <w:rPr>
                <w:color w:val="000000"/>
                <w:u w:val="single"/>
              </w:rPr>
              <w:t>PSO-</w:t>
            </w:r>
            <w:r w:rsidRPr="00E80661">
              <w:rPr>
                <w:color w:val="000000"/>
                <w:u w:val="single"/>
              </w:rPr>
              <w:t>R</w:t>
            </w:r>
            <w:r w:rsidR="00F508A6" w:rsidRPr="00E80661">
              <w:rPr>
                <w:color w:val="000000"/>
                <w:u w:val="single"/>
              </w:rPr>
              <w:t>egulation</w:t>
            </w:r>
            <w:r w:rsidRPr="00E80661">
              <w:rPr>
                <w:color w:val="000000"/>
                <w:u w:val="single"/>
              </w:rPr>
              <w:t>)</w:t>
            </w:r>
          </w:p>
          <w:p w14:paraId="5C55BCC7" w14:textId="77777777" w:rsidR="00F508A6" w:rsidRPr="00E80661" w:rsidRDefault="00F508A6" w:rsidP="00644601">
            <w:pPr>
              <w:numPr>
                <w:ilvl w:val="0"/>
                <w:numId w:val="24"/>
              </w:numPr>
              <w:suppressAutoHyphens/>
              <w:adjustRightInd/>
              <w:rPr>
                <w:color w:val="000000"/>
              </w:rPr>
            </w:pPr>
            <w:r w:rsidRPr="00E80661">
              <w:rPr>
                <w:color w:val="000000"/>
              </w:rPr>
              <w:t>The clarification that cost-covering services could be combined with non-cost-covering services;</w:t>
            </w:r>
          </w:p>
          <w:p w14:paraId="5C55BCC8" w14:textId="4E0D1969" w:rsidR="00F508A6" w:rsidRPr="00E80661" w:rsidRDefault="008B6DC9" w:rsidP="00644601">
            <w:pPr>
              <w:numPr>
                <w:ilvl w:val="0"/>
                <w:numId w:val="24"/>
              </w:numPr>
              <w:suppressAutoHyphens/>
              <w:adjustRightInd/>
              <w:rPr>
                <w:color w:val="000000"/>
              </w:rPr>
            </w:pPr>
            <w:r w:rsidRPr="00E80661">
              <w:rPr>
                <w:color w:val="000000"/>
              </w:rPr>
              <w:t>t</w:t>
            </w:r>
            <w:r w:rsidR="00F508A6" w:rsidRPr="00E80661">
              <w:rPr>
                <w:color w:val="000000"/>
              </w:rPr>
              <w:t>he obligation for operators that perform public service contracts to provide competent authorities with essential information for the award of public service contracts;</w:t>
            </w:r>
          </w:p>
          <w:p w14:paraId="5C55BCC9" w14:textId="6321F345" w:rsidR="00F508A6" w:rsidRPr="00E80661" w:rsidRDefault="008B6DC9" w:rsidP="00644601">
            <w:pPr>
              <w:numPr>
                <w:ilvl w:val="0"/>
                <w:numId w:val="24"/>
              </w:numPr>
              <w:suppressAutoHyphens/>
              <w:adjustRightInd/>
              <w:rPr>
                <w:color w:val="000000"/>
              </w:rPr>
            </w:pPr>
            <w:r w:rsidRPr="00E80661">
              <w:rPr>
                <w:color w:val="000000"/>
              </w:rPr>
              <w:t>a</w:t>
            </w:r>
            <w:r w:rsidR="00F508A6" w:rsidRPr="00E80661">
              <w:rPr>
                <w:color w:val="000000"/>
              </w:rPr>
              <w:t>n upper limit of 500</w:t>
            </w:r>
            <w:r w:rsidR="008009DC" w:rsidRPr="00E80661">
              <w:rPr>
                <w:color w:val="000000"/>
              </w:rPr>
              <w:t> </w:t>
            </w:r>
            <w:r w:rsidR="00F508A6" w:rsidRPr="00E80661">
              <w:rPr>
                <w:color w:val="000000"/>
              </w:rPr>
              <w:t>000 km instead of 150</w:t>
            </w:r>
            <w:r w:rsidR="008009DC" w:rsidRPr="00E80661">
              <w:rPr>
                <w:color w:val="000000"/>
              </w:rPr>
              <w:t> </w:t>
            </w:r>
            <w:r w:rsidR="00F508A6" w:rsidRPr="00E80661">
              <w:rPr>
                <w:color w:val="000000"/>
              </w:rPr>
              <w:t>000 km for the direct awarding of public service contracts for public passenger transport services by rail;</w:t>
            </w:r>
          </w:p>
          <w:p w14:paraId="5C55BCCA" w14:textId="4F4AA1E1" w:rsidR="00F508A6" w:rsidRPr="00E80661" w:rsidRDefault="008B6DC9" w:rsidP="00644601">
            <w:pPr>
              <w:numPr>
                <w:ilvl w:val="0"/>
                <w:numId w:val="24"/>
              </w:numPr>
              <w:suppressAutoHyphens/>
              <w:adjustRightInd/>
              <w:rPr>
                <w:color w:val="000000"/>
              </w:rPr>
            </w:pPr>
            <w:r w:rsidRPr="00E80661">
              <w:rPr>
                <w:color w:val="000000"/>
              </w:rPr>
              <w:t>t</w:t>
            </w:r>
            <w:r w:rsidR="00F508A6" w:rsidRPr="00E80661">
              <w:rPr>
                <w:color w:val="000000"/>
              </w:rPr>
              <w:t>he option for competent authorities to directly award public service contracts for public passenger transport services by rail directly in certain cases;</w:t>
            </w:r>
          </w:p>
          <w:p w14:paraId="5C55BCCB" w14:textId="7D3118B0" w:rsidR="00F508A6" w:rsidRPr="00E80661" w:rsidRDefault="008B6DC9" w:rsidP="00644601">
            <w:pPr>
              <w:numPr>
                <w:ilvl w:val="0"/>
                <w:numId w:val="24"/>
              </w:numPr>
              <w:suppressAutoHyphens/>
              <w:adjustRightInd/>
              <w:rPr>
                <w:color w:val="000000"/>
              </w:rPr>
            </w:pPr>
            <w:r w:rsidRPr="00E80661">
              <w:rPr>
                <w:color w:val="000000"/>
              </w:rPr>
              <w:t>t</w:t>
            </w:r>
            <w:r w:rsidR="00F508A6" w:rsidRPr="00E80661">
              <w:rPr>
                <w:color w:val="000000"/>
              </w:rPr>
              <w:t>he inclusion of cooperation with other competent authorities in order to create a larger pool of rolling stock to the measures to ensure effective and non-discriminatory access to rolling stock.</w:t>
            </w:r>
          </w:p>
          <w:p w14:paraId="5C55BCCC" w14:textId="77777777" w:rsidR="00F508A6" w:rsidRPr="00E80661" w:rsidRDefault="00F508A6" w:rsidP="00F508A6">
            <w:pPr>
              <w:suppressAutoHyphens/>
              <w:adjustRightInd/>
              <w:rPr>
                <w:color w:val="000000"/>
              </w:rPr>
            </w:pPr>
          </w:p>
          <w:p w14:paraId="5C55BCCD" w14:textId="1B11FFAF" w:rsidR="00F508A6" w:rsidRPr="00E80661" w:rsidRDefault="00CB1ABD" w:rsidP="00F508A6">
            <w:pPr>
              <w:suppressAutoHyphens/>
              <w:adjustRightInd/>
              <w:rPr>
                <w:color w:val="000000"/>
                <w:u w:val="single"/>
              </w:rPr>
            </w:pPr>
            <w:r w:rsidRPr="00E80661">
              <w:rPr>
                <w:color w:val="000000"/>
                <w:u w:val="single"/>
              </w:rPr>
              <w:t>Directive (EU) 2016/2370 (</w:t>
            </w:r>
            <w:r w:rsidR="00F508A6" w:rsidRPr="00E80661">
              <w:rPr>
                <w:color w:val="000000"/>
                <w:u w:val="single"/>
              </w:rPr>
              <w:t xml:space="preserve">Governance </w:t>
            </w:r>
            <w:r w:rsidRPr="00E80661">
              <w:rPr>
                <w:color w:val="000000"/>
                <w:u w:val="single"/>
              </w:rPr>
              <w:t>D</w:t>
            </w:r>
            <w:r w:rsidR="00F508A6" w:rsidRPr="00E80661">
              <w:rPr>
                <w:color w:val="000000"/>
                <w:u w:val="single"/>
              </w:rPr>
              <w:t>irective</w:t>
            </w:r>
            <w:r w:rsidRPr="00E80661">
              <w:rPr>
                <w:color w:val="000000"/>
                <w:u w:val="single"/>
              </w:rPr>
              <w:t>)</w:t>
            </w:r>
            <w:r w:rsidR="00F508A6" w:rsidRPr="00E80661">
              <w:rPr>
                <w:color w:val="000000"/>
                <w:u w:val="single"/>
              </w:rPr>
              <w:t>:</w:t>
            </w:r>
          </w:p>
          <w:p w14:paraId="5C55BCCE" w14:textId="77777777" w:rsidR="00F508A6" w:rsidRPr="00E80661" w:rsidRDefault="00F508A6" w:rsidP="00644601">
            <w:pPr>
              <w:numPr>
                <w:ilvl w:val="0"/>
                <w:numId w:val="23"/>
              </w:numPr>
              <w:suppressAutoHyphens/>
              <w:adjustRightInd/>
              <w:rPr>
                <w:color w:val="000000"/>
              </w:rPr>
            </w:pPr>
            <w:r w:rsidRPr="00E80661">
              <w:rPr>
                <w:color w:val="000000"/>
              </w:rPr>
              <w:t>Tackling cross-border bottlenecks as one of the objectives of the European Network of Infrastructure Managers.</w:t>
            </w:r>
          </w:p>
          <w:p w14:paraId="5C55BCCF" w14:textId="77777777" w:rsidR="00F508A6" w:rsidRPr="00E80661" w:rsidRDefault="00F508A6" w:rsidP="00F508A6">
            <w:pPr>
              <w:suppressAutoHyphens/>
              <w:adjustRightInd/>
              <w:rPr>
                <w:color w:val="000000"/>
              </w:rPr>
            </w:pPr>
          </w:p>
          <w:p w14:paraId="5C55BCD0" w14:textId="203312B2" w:rsidR="00F508A6" w:rsidRPr="00E80661" w:rsidRDefault="00CB1ABD" w:rsidP="00F508A6">
            <w:pPr>
              <w:suppressAutoHyphens/>
              <w:adjustRightInd/>
              <w:rPr>
                <w:color w:val="000000"/>
                <w:u w:val="single"/>
              </w:rPr>
            </w:pPr>
            <w:r w:rsidRPr="00E80661">
              <w:rPr>
                <w:color w:val="000000"/>
                <w:u w:val="single"/>
              </w:rPr>
              <w:t>Regulation (EU) 2016/796 (</w:t>
            </w:r>
            <w:r w:rsidR="00F508A6" w:rsidRPr="00E80661">
              <w:rPr>
                <w:color w:val="000000"/>
                <w:u w:val="single"/>
              </w:rPr>
              <w:t>E</w:t>
            </w:r>
            <w:r w:rsidR="007B48D3" w:rsidRPr="00E80661">
              <w:rPr>
                <w:color w:val="000000"/>
                <w:u w:val="single"/>
              </w:rPr>
              <w:t xml:space="preserve">uropean </w:t>
            </w:r>
            <w:r w:rsidR="00F508A6" w:rsidRPr="00E80661">
              <w:rPr>
                <w:color w:val="000000"/>
                <w:u w:val="single"/>
              </w:rPr>
              <w:t>R</w:t>
            </w:r>
            <w:r w:rsidR="007B48D3" w:rsidRPr="00E80661">
              <w:rPr>
                <w:color w:val="000000"/>
                <w:u w:val="single"/>
              </w:rPr>
              <w:t xml:space="preserve">ailway </w:t>
            </w:r>
            <w:r w:rsidR="00F508A6" w:rsidRPr="00E80661">
              <w:rPr>
                <w:color w:val="000000"/>
                <w:u w:val="single"/>
              </w:rPr>
              <w:t>A</w:t>
            </w:r>
            <w:r w:rsidR="007B48D3" w:rsidRPr="00E80661">
              <w:rPr>
                <w:color w:val="000000"/>
                <w:u w:val="single"/>
              </w:rPr>
              <w:t>gency (ERA)</w:t>
            </w:r>
            <w:r w:rsidR="00BC4D18" w:rsidRPr="00E80661">
              <w:rPr>
                <w:color w:val="000000"/>
                <w:u w:val="single"/>
              </w:rPr>
              <w:t xml:space="preserve"> </w:t>
            </w:r>
            <w:r w:rsidR="00F508A6" w:rsidRPr="00E80661">
              <w:rPr>
                <w:color w:val="000000"/>
                <w:u w:val="single"/>
              </w:rPr>
              <w:t>Regulation</w:t>
            </w:r>
            <w:r w:rsidRPr="00E80661">
              <w:rPr>
                <w:color w:val="000000"/>
                <w:u w:val="single"/>
              </w:rPr>
              <w:t>)</w:t>
            </w:r>
            <w:r w:rsidR="00F508A6" w:rsidRPr="00E80661">
              <w:rPr>
                <w:color w:val="000000"/>
                <w:u w:val="single"/>
              </w:rPr>
              <w:t>:</w:t>
            </w:r>
          </w:p>
          <w:p w14:paraId="5C55BCD1" w14:textId="77777777" w:rsidR="00F508A6" w:rsidRPr="00E80661" w:rsidRDefault="00F508A6" w:rsidP="00644601">
            <w:pPr>
              <w:numPr>
                <w:ilvl w:val="0"/>
                <w:numId w:val="23"/>
              </w:numPr>
              <w:suppressAutoHyphens/>
              <w:adjustRightInd/>
              <w:rPr>
                <w:color w:val="000000"/>
              </w:rPr>
            </w:pPr>
            <w:r w:rsidRPr="00E80661">
              <w:rPr>
                <w:color w:val="000000"/>
              </w:rPr>
              <w:t>The possibility to appeal against a failure of the Agency to act within the applicable time limits;</w:t>
            </w:r>
          </w:p>
          <w:p w14:paraId="5C55BCD2" w14:textId="6D2110E9" w:rsidR="00F508A6" w:rsidRPr="00E80661" w:rsidRDefault="008B6DC9" w:rsidP="00644601">
            <w:pPr>
              <w:numPr>
                <w:ilvl w:val="0"/>
                <w:numId w:val="23"/>
              </w:numPr>
              <w:suppressAutoHyphens/>
              <w:adjustRightInd/>
              <w:rPr>
                <w:color w:val="000000"/>
              </w:rPr>
            </w:pPr>
            <w:r w:rsidRPr="00E80661">
              <w:rPr>
                <w:color w:val="000000"/>
              </w:rPr>
              <w:t>a</w:t>
            </w:r>
            <w:r w:rsidR="00F508A6" w:rsidRPr="00E80661">
              <w:rPr>
                <w:color w:val="000000"/>
              </w:rPr>
              <w:t xml:space="preserve"> specification of the procedures and deadlines applied by the Board of Appeal.</w:t>
            </w:r>
          </w:p>
          <w:p w14:paraId="5B0850BD" w14:textId="77777777" w:rsidR="00E907BF" w:rsidRPr="00E80661" w:rsidRDefault="00E907BF" w:rsidP="00E907BF">
            <w:pPr>
              <w:suppressAutoHyphens/>
              <w:adjustRightInd/>
              <w:rPr>
                <w:color w:val="000000"/>
              </w:rPr>
            </w:pPr>
          </w:p>
          <w:p w14:paraId="5C55BCD3" w14:textId="77777777" w:rsidR="00F508A6" w:rsidRPr="00E80661" w:rsidRDefault="00F508A6" w:rsidP="00F508A6"/>
        </w:tc>
      </w:tr>
    </w:tbl>
    <w:p w14:paraId="5C55BCD5" w14:textId="77777777" w:rsidR="00AC1240" w:rsidRPr="00E80661" w:rsidRDefault="00AC1240" w:rsidP="005B2CFF">
      <w:pPr>
        <w:rPr>
          <w:szCs w:val="22"/>
        </w:rPr>
      </w:pPr>
    </w:p>
    <w:p w14:paraId="5C55BCD6" w14:textId="77777777" w:rsidR="00163903" w:rsidRPr="00E80661" w:rsidRDefault="00163903" w:rsidP="005B2CFF">
      <w:pPr>
        <w:rPr>
          <w:szCs w:val="22"/>
        </w:rPr>
      </w:pPr>
    </w:p>
    <w:p w14:paraId="5C55BCD7" w14:textId="77777777" w:rsidR="00BC1D4C" w:rsidRPr="00E80661" w:rsidRDefault="008B6DC9" w:rsidP="00644601">
      <w:pPr>
        <w:pStyle w:val="Heading2"/>
        <w:numPr>
          <w:ilvl w:val="0"/>
          <w:numId w:val="0"/>
        </w:numPr>
        <w:rPr>
          <w:b/>
        </w:rPr>
      </w:pPr>
      <w:bookmarkStart w:id="49" w:name="_Toc486243285"/>
      <w:bookmarkStart w:id="50" w:name="_Toc485373837"/>
      <w:r w:rsidRPr="00E80661">
        <w:rPr>
          <w:b/>
        </w:rPr>
        <w:t>3.3.</w:t>
      </w:r>
      <w:r w:rsidRPr="00E80661">
        <w:rPr>
          <w:b/>
        </w:rPr>
        <w:tab/>
      </w:r>
      <w:r w:rsidR="00B84E8B" w:rsidRPr="00E80661">
        <w:rPr>
          <w:b/>
        </w:rPr>
        <w:t xml:space="preserve">EU </w:t>
      </w:r>
      <w:r w:rsidR="006B716E" w:rsidRPr="00E80661">
        <w:rPr>
          <w:b/>
        </w:rPr>
        <w:t>Port</w:t>
      </w:r>
      <w:r w:rsidR="00B84E8B" w:rsidRPr="00E80661">
        <w:rPr>
          <w:b/>
        </w:rPr>
        <w:t>s</w:t>
      </w:r>
      <w:r w:rsidR="006B716E" w:rsidRPr="00E80661">
        <w:rPr>
          <w:b/>
        </w:rPr>
        <w:t xml:space="preserve"> policy</w:t>
      </w:r>
      <w:bookmarkEnd w:id="49"/>
      <w:bookmarkEnd w:id="50"/>
      <w:r w:rsidR="006B716E" w:rsidRPr="00E80661">
        <w:rPr>
          <w:b/>
        </w:rPr>
        <w:t xml:space="preserve"> </w:t>
      </w:r>
    </w:p>
    <w:p w14:paraId="5C55BCD8" w14:textId="77777777" w:rsidR="0036257B" w:rsidRPr="00E80661" w:rsidRDefault="0036257B" w:rsidP="0036257B"/>
    <w:tbl>
      <w:tblPr>
        <w:tblStyle w:val="TableGrid"/>
        <w:tblW w:w="0" w:type="auto"/>
        <w:shd w:val="clear" w:color="auto" w:fill="BFBFBF" w:themeFill="background1" w:themeFillShade="BF"/>
        <w:tblLook w:val="04A0" w:firstRow="1" w:lastRow="0" w:firstColumn="1" w:lastColumn="0" w:noHBand="0" w:noVBand="1"/>
      </w:tblPr>
      <w:tblGrid>
        <w:gridCol w:w="9242"/>
      </w:tblGrid>
      <w:tr w:rsidR="0036257B" w:rsidRPr="00E80661" w14:paraId="5C55BCE3" w14:textId="77777777" w:rsidTr="002F0A81">
        <w:tc>
          <w:tcPr>
            <w:tcW w:w="9242" w:type="dxa"/>
            <w:shd w:val="clear" w:color="auto" w:fill="BFBFBF" w:themeFill="background1" w:themeFillShade="BF"/>
          </w:tcPr>
          <w:p w14:paraId="5C55BCD9" w14:textId="6260EA23" w:rsidR="0036257B" w:rsidRPr="00E80661" w:rsidRDefault="0036257B" w:rsidP="0036257B">
            <w:pPr>
              <w:suppressAutoHyphens/>
              <w:adjustRightInd/>
              <w:rPr>
                <w:color w:val="000000"/>
              </w:rPr>
            </w:pPr>
            <w:r w:rsidRPr="00E80661">
              <w:rPr>
                <w:color w:val="000000"/>
              </w:rPr>
              <w:t xml:space="preserve">A comparison between the CoR opinion </w:t>
            </w:r>
            <w:r w:rsidRPr="00E80661">
              <w:rPr>
                <w:b/>
                <w:color w:val="000000"/>
              </w:rPr>
              <w:t>Framework on Future EU Ports Policy</w:t>
            </w:r>
            <w:r w:rsidRPr="00644601">
              <w:rPr>
                <w:color w:val="000000"/>
              </w:rPr>
              <w:footnoteReference w:id="50"/>
            </w:r>
            <w:r w:rsidRPr="00E80661">
              <w:rPr>
                <w:color w:val="000000"/>
              </w:rPr>
              <w:t xml:space="preserve"> and the final text of </w:t>
            </w:r>
            <w:r w:rsidR="00CB1ABD" w:rsidRPr="00E80661">
              <w:rPr>
                <w:b/>
                <w:color w:val="000000"/>
              </w:rPr>
              <w:t>R</w:t>
            </w:r>
            <w:r w:rsidRPr="00E80661">
              <w:rPr>
                <w:b/>
                <w:color w:val="000000"/>
              </w:rPr>
              <w:t xml:space="preserve">egulation </w:t>
            </w:r>
            <w:r w:rsidR="00CB1ABD" w:rsidRPr="00E80661">
              <w:rPr>
                <w:b/>
                <w:color w:val="000000"/>
              </w:rPr>
              <w:t>(EU) 2017/352</w:t>
            </w:r>
            <w:r w:rsidR="00CB1ABD" w:rsidRPr="00E80661">
              <w:rPr>
                <w:color w:val="000000"/>
              </w:rPr>
              <w:t xml:space="preserve"> </w:t>
            </w:r>
            <w:r w:rsidRPr="00E80661">
              <w:rPr>
                <w:color w:val="000000"/>
              </w:rPr>
              <w:t>establishing a framework on market access to port services and financial transparency of ports</w:t>
            </w:r>
            <w:r w:rsidR="00CB1ABD" w:rsidRPr="00644601">
              <w:rPr>
                <w:rStyle w:val="FootnoteReference"/>
                <w:color w:val="000000"/>
              </w:rPr>
              <w:footnoteReference w:id="51"/>
            </w:r>
            <w:r w:rsidRPr="00E80661">
              <w:rPr>
                <w:color w:val="000000"/>
              </w:rPr>
              <w:t xml:space="preserve"> shows that a number of CoR recommendations for legislative amendments have been taken on board:</w:t>
            </w:r>
          </w:p>
          <w:p w14:paraId="5C55BCDA" w14:textId="77777777" w:rsidR="0036257B" w:rsidRPr="00E80661" w:rsidRDefault="0036257B" w:rsidP="0036257B">
            <w:pPr>
              <w:suppressAutoHyphens/>
              <w:adjustRightInd/>
              <w:rPr>
                <w:color w:val="000000"/>
              </w:rPr>
            </w:pPr>
          </w:p>
          <w:p w14:paraId="5C55BCDB" w14:textId="3B0338C0" w:rsidR="0036257B" w:rsidRPr="00E80661" w:rsidRDefault="0036257B" w:rsidP="00644601">
            <w:pPr>
              <w:numPr>
                <w:ilvl w:val="0"/>
                <w:numId w:val="25"/>
              </w:numPr>
              <w:tabs>
                <w:tab w:val="clear" w:pos="720"/>
              </w:tabs>
              <w:suppressAutoHyphens/>
              <w:adjustRightInd/>
              <w:rPr>
                <w:color w:val="000000"/>
              </w:rPr>
            </w:pPr>
            <w:r w:rsidRPr="00E80661">
              <w:rPr>
                <w:color w:val="000000"/>
              </w:rPr>
              <w:t xml:space="preserve">The final text exempts dredging from the scope of the Regulation (with </w:t>
            </w:r>
            <w:r w:rsidR="00B77976" w:rsidRPr="00E80661">
              <w:rPr>
                <w:color w:val="000000"/>
              </w:rPr>
              <w:t xml:space="preserve">the </w:t>
            </w:r>
            <w:r w:rsidRPr="00E80661">
              <w:rPr>
                <w:color w:val="000000"/>
              </w:rPr>
              <w:t>exception of Article</w:t>
            </w:r>
            <w:r w:rsidR="00B77976" w:rsidRPr="00E80661">
              <w:rPr>
                <w:color w:val="000000"/>
              </w:rPr>
              <w:t> </w:t>
            </w:r>
            <w:r w:rsidRPr="00E80661">
              <w:rPr>
                <w:color w:val="000000"/>
              </w:rPr>
              <w:t>11(2)), but mooring, pilotage and towage are still covered;</w:t>
            </w:r>
          </w:p>
          <w:p w14:paraId="5C55BCDC" w14:textId="24A9EE4E" w:rsidR="0036257B" w:rsidRPr="00E80661" w:rsidRDefault="0036257B" w:rsidP="00644601">
            <w:pPr>
              <w:numPr>
                <w:ilvl w:val="0"/>
                <w:numId w:val="25"/>
              </w:numPr>
              <w:tabs>
                <w:tab w:val="clear" w:pos="720"/>
              </w:tabs>
              <w:suppressAutoHyphens/>
              <w:adjustRightInd/>
              <w:rPr>
                <w:color w:val="000000"/>
              </w:rPr>
            </w:pPr>
            <w:r w:rsidRPr="00E80661">
              <w:rPr>
                <w:color w:val="000000"/>
              </w:rPr>
              <w:t xml:space="preserve">a definition of the term "competent authority" was </w:t>
            </w:r>
            <w:r w:rsidR="00C729B8" w:rsidRPr="00E80661">
              <w:rPr>
                <w:color w:val="000000"/>
              </w:rPr>
              <w:t>provided</w:t>
            </w:r>
            <w:r w:rsidR="007B48D3" w:rsidRPr="00E80661">
              <w:rPr>
                <w:color w:val="000000"/>
              </w:rPr>
              <w:t xml:space="preserve"> </w:t>
            </w:r>
            <w:r w:rsidRPr="00E80661">
              <w:rPr>
                <w:color w:val="000000"/>
              </w:rPr>
              <w:t xml:space="preserve">in the final text. </w:t>
            </w:r>
            <w:r w:rsidR="00BD4BE1" w:rsidRPr="00E80661">
              <w:rPr>
                <w:color w:val="000000"/>
              </w:rPr>
              <w:t>However, t</w:t>
            </w:r>
            <w:r w:rsidRPr="00E80661">
              <w:rPr>
                <w:color w:val="000000"/>
              </w:rPr>
              <w:t>he wording is different from the CoR proposal;</w:t>
            </w:r>
          </w:p>
          <w:p w14:paraId="5C55BCDD" w14:textId="44AA1A64" w:rsidR="0036257B" w:rsidRPr="00E80661" w:rsidRDefault="008B6DC9" w:rsidP="00644601">
            <w:pPr>
              <w:numPr>
                <w:ilvl w:val="0"/>
                <w:numId w:val="25"/>
              </w:numPr>
              <w:tabs>
                <w:tab w:val="clear" w:pos="720"/>
              </w:tabs>
              <w:suppressAutoHyphens/>
              <w:adjustRightInd/>
              <w:rPr>
                <w:color w:val="000000"/>
              </w:rPr>
            </w:pPr>
            <w:r w:rsidRPr="00E80661">
              <w:rPr>
                <w:color w:val="000000"/>
              </w:rPr>
              <w:t>t</w:t>
            </w:r>
            <w:r w:rsidR="0036257B" w:rsidRPr="00E80661">
              <w:rPr>
                <w:color w:val="000000"/>
              </w:rPr>
              <w:t>he objective of strengthening the role of competent authorities with regard to the minimum requirements for the provision of port services was reflected in the final text. However, the reference to regional requirements was not included;</w:t>
            </w:r>
          </w:p>
          <w:p w14:paraId="5C55BCDE" w14:textId="4CC34FBC" w:rsidR="0036257B" w:rsidRPr="00E80661" w:rsidRDefault="008B6DC9" w:rsidP="00644601">
            <w:pPr>
              <w:numPr>
                <w:ilvl w:val="0"/>
                <w:numId w:val="25"/>
              </w:numPr>
              <w:tabs>
                <w:tab w:val="clear" w:pos="720"/>
              </w:tabs>
              <w:suppressAutoHyphens/>
              <w:adjustRightInd/>
              <w:rPr>
                <w:color w:val="000000"/>
              </w:rPr>
            </w:pPr>
            <w:r w:rsidRPr="00E80661">
              <w:rPr>
                <w:color w:val="000000"/>
              </w:rPr>
              <w:t>t</w:t>
            </w:r>
            <w:r w:rsidR="0036257B" w:rsidRPr="00E80661">
              <w:rPr>
                <w:color w:val="000000"/>
              </w:rPr>
              <w:t>he provisions related to concessions were deleted in the final text;</w:t>
            </w:r>
          </w:p>
          <w:p w14:paraId="5C55BCDF" w14:textId="7BD6BE3A" w:rsidR="0036257B" w:rsidRPr="00E80661" w:rsidRDefault="008B6DC9" w:rsidP="00644601">
            <w:pPr>
              <w:numPr>
                <w:ilvl w:val="0"/>
                <w:numId w:val="25"/>
              </w:numPr>
              <w:tabs>
                <w:tab w:val="clear" w:pos="720"/>
              </w:tabs>
              <w:suppressAutoHyphens/>
              <w:adjustRightInd/>
              <w:rPr>
                <w:color w:val="000000"/>
              </w:rPr>
            </w:pPr>
            <w:r w:rsidRPr="00E80661">
              <w:rPr>
                <w:color w:val="000000"/>
              </w:rPr>
              <w:t>p</w:t>
            </w:r>
            <w:r w:rsidR="0036257B" w:rsidRPr="00E80661">
              <w:rPr>
                <w:color w:val="000000"/>
              </w:rPr>
              <w:t>ublic service obligations can now also be imposed to ensure the safety, security or environmental sustainability of port operations, as well as territorial cohesion;</w:t>
            </w:r>
          </w:p>
          <w:p w14:paraId="5C55BCE0" w14:textId="77777777" w:rsidR="0036257B" w:rsidRPr="00E80661" w:rsidRDefault="0036257B" w:rsidP="00644601">
            <w:pPr>
              <w:numPr>
                <w:ilvl w:val="0"/>
                <w:numId w:val="25"/>
              </w:numPr>
              <w:tabs>
                <w:tab w:val="clear" w:pos="720"/>
              </w:tabs>
              <w:suppressAutoHyphens/>
              <w:adjustRightInd/>
              <w:rPr>
                <w:color w:val="000000"/>
              </w:rPr>
            </w:pPr>
            <w:r w:rsidRPr="00E80661">
              <w:rPr>
                <w:color w:val="000000"/>
              </w:rPr>
              <w:t xml:space="preserve">internal operators </w:t>
            </w:r>
            <w:r w:rsidR="007B48D3" w:rsidRPr="00E80661">
              <w:rPr>
                <w:color w:val="000000"/>
              </w:rPr>
              <w:t>are</w:t>
            </w:r>
            <w:r w:rsidRPr="00E80661">
              <w:rPr>
                <w:color w:val="000000"/>
              </w:rPr>
              <w:t xml:space="preserve"> able to provide port services other than port services under public service obligations;</w:t>
            </w:r>
          </w:p>
          <w:p w14:paraId="5C55BCE1" w14:textId="77777777" w:rsidR="0036257B" w:rsidRPr="00E80661" w:rsidRDefault="0036257B" w:rsidP="00644601">
            <w:pPr>
              <w:numPr>
                <w:ilvl w:val="0"/>
                <w:numId w:val="25"/>
              </w:numPr>
              <w:tabs>
                <w:tab w:val="clear" w:pos="720"/>
              </w:tabs>
              <w:suppressAutoHyphens/>
              <w:adjustRightInd/>
              <w:rPr>
                <w:color w:val="000000"/>
              </w:rPr>
            </w:pPr>
            <w:r w:rsidRPr="00E80661">
              <w:rPr>
                <w:color w:val="000000"/>
              </w:rPr>
              <w:t xml:space="preserve">the </w:t>
            </w:r>
            <w:r w:rsidR="00C51AA6" w:rsidRPr="00E80661">
              <w:rPr>
                <w:color w:val="000000"/>
              </w:rPr>
              <w:t xml:space="preserve">possibility for the EC </w:t>
            </w:r>
            <w:r w:rsidRPr="00E80661">
              <w:rPr>
                <w:color w:val="000000"/>
              </w:rPr>
              <w:t>to adopt delegated acts on common charging principles for port infrastructure charges</w:t>
            </w:r>
            <w:r w:rsidR="00C51AA6" w:rsidRPr="00E80661">
              <w:rPr>
                <w:color w:val="000000"/>
              </w:rPr>
              <w:t xml:space="preserve"> </w:t>
            </w:r>
            <w:r w:rsidRPr="00E80661">
              <w:rPr>
                <w:color w:val="000000"/>
              </w:rPr>
              <w:t>was deleted;</w:t>
            </w:r>
          </w:p>
          <w:p w14:paraId="03C824E2" w14:textId="77777777" w:rsidR="00A22DA5" w:rsidRPr="00E80661" w:rsidRDefault="0036257B" w:rsidP="00644601">
            <w:pPr>
              <w:numPr>
                <w:ilvl w:val="0"/>
                <w:numId w:val="25"/>
              </w:numPr>
              <w:suppressAutoHyphens/>
              <w:adjustRightInd/>
              <w:rPr>
                <w:color w:val="000000"/>
              </w:rPr>
            </w:pPr>
            <w:r w:rsidRPr="00E80661">
              <w:rPr>
                <w:color w:val="000000"/>
              </w:rPr>
              <w:t xml:space="preserve">the </w:t>
            </w:r>
            <w:r w:rsidR="00C51AA6" w:rsidRPr="00E80661">
              <w:rPr>
                <w:color w:val="000000"/>
              </w:rPr>
              <w:t>EC proposal</w:t>
            </w:r>
            <w:r w:rsidRPr="00E80661">
              <w:rPr>
                <w:color w:val="000000"/>
              </w:rPr>
              <w:t xml:space="preserve"> to establish an independent supervisory body responsible for monitoring and supervising the application of the Regulation</w:t>
            </w:r>
            <w:r w:rsidR="00C51AA6" w:rsidRPr="00E80661">
              <w:rPr>
                <w:color w:val="000000"/>
              </w:rPr>
              <w:t xml:space="preserve"> was</w:t>
            </w:r>
            <w:r w:rsidRPr="00E80661">
              <w:rPr>
                <w:color w:val="000000"/>
              </w:rPr>
              <w:t xml:space="preserve"> delete</w:t>
            </w:r>
            <w:r w:rsidR="00C51AA6" w:rsidRPr="00E80661">
              <w:rPr>
                <w:color w:val="000000"/>
              </w:rPr>
              <w:t>d</w:t>
            </w:r>
            <w:r w:rsidRPr="00E80661">
              <w:rPr>
                <w:color w:val="000000"/>
              </w:rPr>
              <w:t>.</w:t>
            </w:r>
          </w:p>
          <w:p w14:paraId="7A5A7B4C" w14:textId="77777777" w:rsidR="00A22DA5" w:rsidRPr="00E80661" w:rsidRDefault="00A22DA5" w:rsidP="00A22DA5">
            <w:pPr>
              <w:suppressAutoHyphens/>
              <w:adjustRightInd/>
              <w:ind w:left="720" w:hanging="720"/>
              <w:rPr>
                <w:color w:val="000000"/>
              </w:rPr>
            </w:pPr>
          </w:p>
          <w:p w14:paraId="7472CF93" w14:textId="5A3B25C3" w:rsidR="00A22DA5" w:rsidRPr="00E80661" w:rsidRDefault="00A22DA5" w:rsidP="00A22DA5">
            <w:pPr>
              <w:suppressAutoHyphens/>
              <w:adjustRightInd/>
              <w:rPr>
                <w:szCs w:val="22"/>
              </w:rPr>
            </w:pPr>
            <w:r w:rsidRPr="00E80661">
              <w:t xml:space="preserve">The </w:t>
            </w:r>
            <w:r w:rsidRPr="00E80661">
              <w:rPr>
                <w:szCs w:val="22"/>
              </w:rPr>
              <w:t xml:space="preserve">regulation includes a provision regarding </w:t>
            </w:r>
            <w:r w:rsidR="00BC0DA3" w:rsidRPr="00E80661">
              <w:rPr>
                <w:szCs w:val="22"/>
              </w:rPr>
              <w:t>the c</w:t>
            </w:r>
            <w:r w:rsidRPr="00E80661">
              <w:rPr>
                <w:szCs w:val="22"/>
              </w:rPr>
              <w:t xml:space="preserve">onsultation of port users and other stakeholders, including local and regional authorities, ensuring that their views are taken into account. </w:t>
            </w:r>
          </w:p>
          <w:p w14:paraId="5C55BCE2" w14:textId="76037F99" w:rsidR="00A22DA5" w:rsidRPr="00E80661" w:rsidRDefault="00A22DA5" w:rsidP="00E326F4">
            <w:pPr>
              <w:suppressAutoHyphens/>
              <w:adjustRightInd/>
              <w:rPr>
                <w:color w:val="000000"/>
              </w:rPr>
            </w:pPr>
            <w:r w:rsidRPr="00E80661">
              <w:rPr>
                <w:szCs w:val="22"/>
              </w:rPr>
              <w:t xml:space="preserve">The CoR opinion </w:t>
            </w:r>
            <w:r w:rsidRPr="00E80661">
              <w:t xml:space="preserve">on </w:t>
            </w:r>
            <w:r w:rsidR="00F23DA5" w:rsidRPr="00E80661">
              <w:t>the</w:t>
            </w:r>
            <w:r w:rsidR="00F23DA5" w:rsidRPr="00E80661">
              <w:rPr>
                <w:b/>
                <w:szCs w:val="22"/>
              </w:rPr>
              <w:t xml:space="preserve"> </w:t>
            </w:r>
            <w:r w:rsidRPr="00E80661">
              <w:rPr>
                <w:b/>
                <w:szCs w:val="22"/>
              </w:rPr>
              <w:t>Regeneration of Port Cities and Port Areas</w:t>
            </w:r>
            <w:r w:rsidRPr="00644601">
              <w:rPr>
                <w:rStyle w:val="FootnoteReference"/>
                <w:b/>
              </w:rPr>
              <w:footnoteReference w:id="52"/>
            </w:r>
            <w:r w:rsidRPr="00E80661">
              <w:rPr>
                <w:b/>
                <w:szCs w:val="22"/>
              </w:rPr>
              <w:t xml:space="preserve"> </w:t>
            </w:r>
            <w:r w:rsidRPr="00E80661">
              <w:rPr>
                <w:szCs w:val="22"/>
              </w:rPr>
              <w:t xml:space="preserve">welcomes the principles laid down </w:t>
            </w:r>
            <w:r w:rsidR="00E326F4" w:rsidRPr="00E80661">
              <w:rPr>
                <w:szCs w:val="22"/>
              </w:rPr>
              <w:t xml:space="preserve">in </w:t>
            </w:r>
            <w:r w:rsidRPr="00E80661">
              <w:rPr>
                <w:szCs w:val="22"/>
              </w:rPr>
              <w:t xml:space="preserve">Article 15 of the Ports Regulation and invites the European Commission to provide further guidance when it comes to </w:t>
            </w:r>
            <w:r w:rsidR="00E326F4" w:rsidRPr="00E80661">
              <w:rPr>
                <w:szCs w:val="22"/>
              </w:rPr>
              <w:t>implementing it</w:t>
            </w:r>
            <w:r w:rsidRPr="00E80661">
              <w:rPr>
                <w:szCs w:val="22"/>
              </w:rPr>
              <w:t>.</w:t>
            </w:r>
          </w:p>
        </w:tc>
      </w:tr>
    </w:tbl>
    <w:p w14:paraId="5C55BCE4" w14:textId="77777777" w:rsidR="000E6F8B" w:rsidRPr="00E80661" w:rsidRDefault="000E6F8B" w:rsidP="005B2CFF">
      <w:pPr>
        <w:rPr>
          <w:szCs w:val="22"/>
        </w:rPr>
      </w:pPr>
    </w:p>
    <w:p w14:paraId="5C55BCE5" w14:textId="77777777" w:rsidR="00C93200" w:rsidRPr="00E80661" w:rsidRDefault="00C93200" w:rsidP="005B2CFF">
      <w:pPr>
        <w:rPr>
          <w:szCs w:val="22"/>
        </w:rPr>
      </w:pPr>
    </w:p>
    <w:p w14:paraId="5C55BCE6" w14:textId="77777777" w:rsidR="00C93200" w:rsidRPr="00E80661" w:rsidRDefault="00C93200" w:rsidP="005B2CFF">
      <w:pPr>
        <w:rPr>
          <w:szCs w:val="22"/>
        </w:rPr>
      </w:pPr>
    </w:p>
    <w:p w14:paraId="5C55BCE7" w14:textId="77777777" w:rsidR="00B562F5" w:rsidRPr="00E80661" w:rsidRDefault="00F664CE">
      <w:pPr>
        <w:pStyle w:val="Heading1"/>
        <w:rPr>
          <w:b/>
          <w:szCs w:val="22"/>
        </w:rPr>
      </w:pPr>
      <w:bookmarkStart w:id="51" w:name="_Toc418860761"/>
      <w:r w:rsidRPr="00E80661">
        <w:rPr>
          <w:b/>
          <w:szCs w:val="22"/>
        </w:rPr>
        <w:t xml:space="preserve"> </w:t>
      </w:r>
      <w:bookmarkStart w:id="52" w:name="_Toc474509746"/>
      <w:bookmarkStart w:id="53" w:name="_Toc486243286"/>
      <w:bookmarkStart w:id="54" w:name="_Toc485373838"/>
      <w:r w:rsidR="00B562F5" w:rsidRPr="00E80661">
        <w:rPr>
          <w:b/>
          <w:szCs w:val="22"/>
        </w:rPr>
        <w:t>Research and innovation</w:t>
      </w:r>
      <w:bookmarkEnd w:id="52"/>
      <w:bookmarkEnd w:id="53"/>
      <w:bookmarkEnd w:id="54"/>
    </w:p>
    <w:p w14:paraId="5C55BCE8" w14:textId="77777777" w:rsidR="00B562F5" w:rsidRPr="00E80661" w:rsidRDefault="00B562F5" w:rsidP="00B562F5"/>
    <w:p w14:paraId="5C55BCE9" w14:textId="68CE511A" w:rsidR="00B562F5" w:rsidRPr="00E80661" w:rsidRDefault="00985DF5" w:rsidP="00985DF5">
      <w:r w:rsidRPr="00E80661">
        <w:t>In 2016, the Commission appointed 30 new members to the Bioeconomy Panel. Mr Van der Sande represents the Committee of the Regions as an observer on the panel. Regional representatives are members of this panel, as requested in the CoR opinion on</w:t>
      </w:r>
      <w:r w:rsidRPr="00E80661">
        <w:rPr>
          <w:b/>
        </w:rPr>
        <w:t xml:space="preserve"> Innovating for Sustainable Growth: A Bioeconomy for Europe</w:t>
      </w:r>
      <w:r w:rsidRPr="00E80661">
        <w:rPr>
          <w:rStyle w:val="FootnoteReference"/>
        </w:rPr>
        <w:footnoteReference w:id="53"/>
      </w:r>
      <w:r w:rsidRPr="00E80661">
        <w:rPr>
          <w:b/>
        </w:rPr>
        <w:t xml:space="preserve">. </w:t>
      </w:r>
      <w:r w:rsidRPr="00E80661">
        <w:t>In April 2016, the panel organised the 4th Bioeconomy Stakeholders</w:t>
      </w:r>
      <w:r w:rsidR="006A448D" w:rsidRPr="00E80661">
        <w:t>'</w:t>
      </w:r>
      <w:r w:rsidRPr="00E80661">
        <w:t xml:space="preserve"> Conference in Utrecht </w:t>
      </w:r>
      <w:r w:rsidR="006A448D" w:rsidRPr="00E80661">
        <w:t xml:space="preserve">at which </w:t>
      </w:r>
      <w:r w:rsidRPr="00E80661">
        <w:t>a European Bioeconomy Stakeholders</w:t>
      </w:r>
      <w:r w:rsidR="006A448D" w:rsidRPr="00E80661">
        <w:t>'</w:t>
      </w:r>
      <w:r w:rsidRPr="00E80661">
        <w:t xml:space="preserve"> Manifesto was adopted. </w:t>
      </w:r>
      <w:r w:rsidR="006A448D" w:rsidRPr="00E80661">
        <w:t>This</w:t>
      </w:r>
      <w:r w:rsidRPr="00E80661">
        <w:t xml:space="preserve"> </w:t>
      </w:r>
      <w:r w:rsidR="00B562F5" w:rsidRPr="00E80661">
        <w:t>sets out the opportunities and challenges facing the bioeconomy</w:t>
      </w:r>
      <w:r w:rsidR="00C51AA6" w:rsidRPr="00E80661">
        <w:t xml:space="preserve">. </w:t>
      </w:r>
      <w:r w:rsidR="00E80661" w:rsidRPr="00E80661">
        <w:t>In particular</w:t>
      </w:r>
      <w:r w:rsidR="00B562F5" w:rsidRPr="00E80661">
        <w:t xml:space="preserve">: </w:t>
      </w:r>
    </w:p>
    <w:p w14:paraId="5C55BCEA" w14:textId="4E0A3AAC" w:rsidR="00B562F5" w:rsidRPr="00E80661" w:rsidRDefault="006A448D" w:rsidP="00644601">
      <w:pPr>
        <w:pStyle w:val="ListParagraph"/>
        <w:numPr>
          <w:ilvl w:val="0"/>
          <w:numId w:val="26"/>
        </w:numPr>
      </w:pPr>
      <w:r w:rsidRPr="00E80661">
        <w:t>i</w:t>
      </w:r>
      <w:r w:rsidR="00B562F5" w:rsidRPr="00E80661">
        <w:t xml:space="preserve">t highlights the importance of regions and municipalities to the bioeconomy; </w:t>
      </w:r>
    </w:p>
    <w:p w14:paraId="5C55BCEB" w14:textId="4AC9A232" w:rsidR="00B562F5" w:rsidRPr="00E80661" w:rsidRDefault="006A448D" w:rsidP="00644601">
      <w:pPr>
        <w:pStyle w:val="ListParagraph"/>
        <w:numPr>
          <w:ilvl w:val="0"/>
          <w:numId w:val="26"/>
        </w:numPr>
      </w:pPr>
      <w:r w:rsidRPr="00E80661">
        <w:t>i</w:t>
      </w:r>
      <w:r w:rsidR="00B562F5" w:rsidRPr="00E80661">
        <w:t xml:space="preserve">t shares the views </w:t>
      </w:r>
      <w:r w:rsidRPr="00E80661">
        <w:t>set out in</w:t>
      </w:r>
      <w:r w:rsidR="00B562F5" w:rsidRPr="00E80661">
        <w:t xml:space="preserve"> the CoR opinion regarding the importance of public awareness, and spells out the role of regions and cities in raising public awareness.</w:t>
      </w:r>
    </w:p>
    <w:p w14:paraId="5C55BCED" w14:textId="77777777" w:rsidR="00B562F5" w:rsidRPr="00E80661" w:rsidRDefault="00B562F5" w:rsidP="00B562F5"/>
    <w:p w14:paraId="5C55BCEE" w14:textId="34604808" w:rsidR="00B562F5" w:rsidRPr="00E80661" w:rsidRDefault="00B562F5" w:rsidP="00B562F5">
      <w:r w:rsidRPr="00E80661">
        <w:t xml:space="preserve">Several points of the </w:t>
      </w:r>
      <w:r w:rsidR="006A448D" w:rsidRPr="00E80661">
        <w:t>opinion on the</w:t>
      </w:r>
      <w:r w:rsidR="006A448D" w:rsidRPr="00E80661">
        <w:rPr>
          <w:b/>
        </w:rPr>
        <w:t xml:space="preserve"> </w:t>
      </w:r>
      <w:r w:rsidRPr="00E80661">
        <w:rPr>
          <w:b/>
        </w:rPr>
        <w:t>eGovernment Action Plan 2016-2020</w:t>
      </w:r>
      <w:r w:rsidR="00B37D55" w:rsidRPr="00E80661">
        <w:rPr>
          <w:rStyle w:val="FootnoteReference"/>
        </w:rPr>
        <w:footnoteReference w:id="54"/>
      </w:r>
      <w:r w:rsidRPr="00E80661">
        <w:rPr>
          <w:b/>
        </w:rPr>
        <w:t xml:space="preserve"> </w:t>
      </w:r>
      <w:r w:rsidRPr="00E80661">
        <w:t>are reflected in the Council conclusions</w:t>
      </w:r>
      <w:r w:rsidRPr="00E80661">
        <w:rPr>
          <w:b/>
        </w:rPr>
        <w:t xml:space="preserve"> </w:t>
      </w:r>
      <w:r w:rsidRPr="00E80661">
        <w:t>adopted on 20 September 2016</w:t>
      </w:r>
      <w:r w:rsidR="009948CA" w:rsidRPr="00E80661">
        <w:rPr>
          <w:rStyle w:val="FootnoteReference"/>
        </w:rPr>
        <w:footnoteReference w:id="55"/>
      </w:r>
      <w:r w:rsidRPr="00E80661">
        <w:t>:</w:t>
      </w:r>
    </w:p>
    <w:p w14:paraId="5C55BCEF" w14:textId="77777777" w:rsidR="00B562F5" w:rsidRPr="00E80661" w:rsidRDefault="00B562F5" w:rsidP="00644601">
      <w:pPr>
        <w:pStyle w:val="ListParagraph"/>
        <w:numPr>
          <w:ilvl w:val="0"/>
          <w:numId w:val="22"/>
        </w:numPr>
      </w:pPr>
      <w:r w:rsidRPr="00E80661">
        <w:t>"the objectives of eGovernment are, among others, to empower citizens and businesses, to increase mobility in the Single Market and to improve the efficiency and effectiveness of the public sector";</w:t>
      </w:r>
    </w:p>
    <w:p w14:paraId="5C55BCF0" w14:textId="77777777" w:rsidR="00B562F5" w:rsidRPr="00E80661" w:rsidRDefault="00B562F5" w:rsidP="00644601">
      <w:pPr>
        <w:pStyle w:val="ListParagraph"/>
        <w:numPr>
          <w:ilvl w:val="0"/>
          <w:numId w:val="22"/>
        </w:numPr>
      </w:pPr>
      <w:r w:rsidRPr="00E80661">
        <w:t>"the facilitation of cross-border digital public services further reduces the administrative burden" ;</w:t>
      </w:r>
    </w:p>
    <w:p w14:paraId="5C55BCF1" w14:textId="77777777" w:rsidR="00B562F5" w:rsidRPr="00E80661" w:rsidRDefault="00B562F5" w:rsidP="00644601">
      <w:pPr>
        <w:pStyle w:val="ListParagraph"/>
        <w:numPr>
          <w:ilvl w:val="0"/>
          <w:numId w:val="22"/>
        </w:numPr>
      </w:pPr>
      <w:r w:rsidRPr="00E80661">
        <w:t xml:space="preserve">"it is important that eGovernment and electronic services are designed in an open and interactive manner"; </w:t>
      </w:r>
    </w:p>
    <w:p w14:paraId="5C55BCF2" w14:textId="77777777" w:rsidR="00B562F5" w:rsidRPr="00E80661" w:rsidRDefault="00B562F5" w:rsidP="00644601">
      <w:pPr>
        <w:pStyle w:val="ListParagraph"/>
        <w:numPr>
          <w:ilvl w:val="0"/>
          <w:numId w:val="22"/>
        </w:numPr>
      </w:pPr>
      <w:r w:rsidRPr="00E80661">
        <w:t xml:space="preserve">"Continue to improve governance, network and information security"; </w:t>
      </w:r>
    </w:p>
    <w:p w14:paraId="5C55BCF3" w14:textId="77777777" w:rsidR="00B562F5" w:rsidRPr="00E80661" w:rsidRDefault="00B562F5" w:rsidP="00644601">
      <w:pPr>
        <w:pStyle w:val="ListParagraph"/>
        <w:ind w:left="360"/>
      </w:pPr>
    </w:p>
    <w:p w14:paraId="5C55BCF4" w14:textId="77777777" w:rsidR="00B562F5" w:rsidRPr="00E80661" w:rsidRDefault="00B562F5" w:rsidP="00B562F5"/>
    <w:p w14:paraId="5C55BCF5" w14:textId="77777777" w:rsidR="00B562F5" w:rsidRPr="00E80661" w:rsidRDefault="00B562F5">
      <w:pPr>
        <w:pStyle w:val="Heading1"/>
        <w:rPr>
          <w:b/>
          <w:szCs w:val="22"/>
        </w:rPr>
      </w:pPr>
      <w:r w:rsidRPr="00E80661">
        <w:rPr>
          <w:b/>
          <w:szCs w:val="22"/>
        </w:rPr>
        <w:t xml:space="preserve"> </w:t>
      </w:r>
      <w:bookmarkStart w:id="55" w:name="_Toc474509747"/>
      <w:bookmarkStart w:id="56" w:name="_Toc486243287"/>
      <w:bookmarkStart w:id="57" w:name="_Toc485373839"/>
      <w:r w:rsidRPr="00E80661">
        <w:rPr>
          <w:b/>
          <w:szCs w:val="22"/>
        </w:rPr>
        <w:t>Culture and youth</w:t>
      </w:r>
      <w:bookmarkEnd w:id="55"/>
      <w:bookmarkEnd w:id="56"/>
      <w:bookmarkEnd w:id="57"/>
    </w:p>
    <w:p w14:paraId="5C55BCF6" w14:textId="77777777" w:rsidR="00B562F5" w:rsidRPr="00E80661" w:rsidRDefault="00B562F5" w:rsidP="00B562F5"/>
    <w:tbl>
      <w:tblPr>
        <w:tblStyle w:val="TableGrid"/>
        <w:tblW w:w="0" w:type="auto"/>
        <w:shd w:val="clear" w:color="auto" w:fill="BFBFBF" w:themeFill="background1" w:themeFillShade="BF"/>
        <w:tblLook w:val="04A0" w:firstRow="1" w:lastRow="0" w:firstColumn="1" w:lastColumn="0" w:noHBand="0" w:noVBand="1"/>
      </w:tblPr>
      <w:tblGrid>
        <w:gridCol w:w="9242"/>
      </w:tblGrid>
      <w:tr w:rsidR="00D42229" w:rsidRPr="00E80661" w14:paraId="5C55BCF8" w14:textId="77777777" w:rsidTr="002F0A81">
        <w:tc>
          <w:tcPr>
            <w:tcW w:w="9242" w:type="dxa"/>
            <w:shd w:val="clear" w:color="auto" w:fill="BFBFBF" w:themeFill="background1" w:themeFillShade="BF"/>
          </w:tcPr>
          <w:p w14:paraId="5C55BCF7" w14:textId="53CB11E4" w:rsidR="00D42229" w:rsidRPr="00E80661" w:rsidRDefault="00177055" w:rsidP="00EB778E">
            <w:r w:rsidRPr="00E80661">
              <w:rPr>
                <w:szCs w:val="22"/>
              </w:rPr>
              <w:t>In line with the amendment</w:t>
            </w:r>
            <w:r w:rsidR="00F8053B" w:rsidRPr="00E80661">
              <w:rPr>
                <w:szCs w:val="22"/>
              </w:rPr>
              <w:t>s</w:t>
            </w:r>
            <w:r w:rsidRPr="00E80661">
              <w:rPr>
                <w:szCs w:val="22"/>
              </w:rPr>
              <w:t xml:space="preserve"> propos</w:t>
            </w:r>
            <w:r w:rsidR="00F8053B" w:rsidRPr="00E80661">
              <w:rPr>
                <w:szCs w:val="22"/>
              </w:rPr>
              <w:t xml:space="preserve">ed in </w:t>
            </w:r>
            <w:r w:rsidRPr="00E80661">
              <w:rPr>
                <w:szCs w:val="22"/>
              </w:rPr>
              <w:t xml:space="preserve">the CoR opinion on </w:t>
            </w:r>
            <w:r w:rsidRPr="00E80661">
              <w:rPr>
                <w:b/>
                <w:szCs w:val="22"/>
              </w:rPr>
              <w:t>The European Capitals of Culture (2020-2033)</w:t>
            </w:r>
            <w:r w:rsidRPr="00644601">
              <w:footnoteReference w:id="56"/>
            </w:r>
            <w:r w:rsidRPr="00E80661">
              <w:t xml:space="preserve"> and </w:t>
            </w:r>
            <w:r w:rsidRPr="00E80661">
              <w:rPr>
                <w:szCs w:val="22"/>
              </w:rPr>
              <w:t>b</w:t>
            </w:r>
            <w:r w:rsidR="00BE2E6B" w:rsidRPr="00E80661">
              <w:rPr>
                <w:szCs w:val="22"/>
              </w:rPr>
              <w:t xml:space="preserve">ased on </w:t>
            </w:r>
            <w:r w:rsidRPr="00E80661">
              <w:rPr>
                <w:szCs w:val="22"/>
              </w:rPr>
              <w:t xml:space="preserve">the </w:t>
            </w:r>
            <w:r w:rsidR="00D42229" w:rsidRPr="00E80661">
              <w:rPr>
                <w:szCs w:val="22"/>
              </w:rPr>
              <w:t>European Commission</w:t>
            </w:r>
            <w:r w:rsidR="00BE2E6B" w:rsidRPr="00E80661">
              <w:rPr>
                <w:szCs w:val="22"/>
              </w:rPr>
              <w:t>'s</w:t>
            </w:r>
            <w:r w:rsidR="00D42229" w:rsidRPr="00E80661">
              <w:rPr>
                <w:szCs w:val="22"/>
              </w:rPr>
              <w:t xml:space="preserve"> </w:t>
            </w:r>
            <w:r w:rsidR="00BE2E6B" w:rsidRPr="00E80661">
              <w:rPr>
                <w:szCs w:val="22"/>
              </w:rPr>
              <w:t>p</w:t>
            </w:r>
            <w:r w:rsidR="00D42229" w:rsidRPr="00E80661">
              <w:rPr>
                <w:szCs w:val="22"/>
              </w:rPr>
              <w:t>roposal</w:t>
            </w:r>
            <w:r w:rsidR="00BE2E6B" w:rsidRPr="00E80661">
              <w:rPr>
                <w:rStyle w:val="FootnoteReference"/>
                <w:szCs w:val="22"/>
              </w:rPr>
              <w:footnoteReference w:id="57"/>
            </w:r>
            <w:r w:rsidR="00BE2E6B" w:rsidRPr="00E80661">
              <w:rPr>
                <w:szCs w:val="22"/>
              </w:rPr>
              <w:t xml:space="preserve">, on 22 November 2016 </w:t>
            </w:r>
            <w:r w:rsidR="00A20348" w:rsidRPr="00E80661">
              <w:rPr>
                <w:szCs w:val="22"/>
              </w:rPr>
              <w:t xml:space="preserve">the Council amended </w:t>
            </w:r>
            <w:r w:rsidR="00BE2E6B" w:rsidRPr="00E80661">
              <w:rPr>
                <w:szCs w:val="22"/>
              </w:rPr>
              <w:t>the decision establishing a</w:t>
            </w:r>
            <w:r w:rsidR="00EB778E">
              <w:rPr>
                <w:szCs w:val="22"/>
              </w:rPr>
              <w:t>n</w:t>
            </w:r>
            <w:r w:rsidR="00BE2E6B" w:rsidRPr="00E80661">
              <w:rPr>
                <w:szCs w:val="22"/>
              </w:rPr>
              <w:t xml:space="preserve"> </w:t>
            </w:r>
            <w:r w:rsidR="00EB778E">
              <w:rPr>
                <w:szCs w:val="22"/>
              </w:rPr>
              <w:t>EU</w:t>
            </w:r>
            <w:r w:rsidR="00EB778E" w:rsidRPr="00E80661">
              <w:rPr>
                <w:szCs w:val="22"/>
              </w:rPr>
              <w:t xml:space="preserve"> </w:t>
            </w:r>
            <w:r w:rsidR="00BE2E6B" w:rsidRPr="00E80661">
              <w:rPr>
                <w:szCs w:val="22"/>
              </w:rPr>
              <w:t>action for the European Capitals of Culture for the years 2020 to 2033, allowing EFTA/EEA countries (Norway, Iceland and Lichtenstein) to have access to the action</w:t>
            </w:r>
            <w:r w:rsidR="00A20348" w:rsidRPr="00E80661">
              <w:rPr>
                <w:szCs w:val="22"/>
              </w:rPr>
              <w:t>.</w:t>
            </w:r>
            <w:r w:rsidR="00D42229" w:rsidRPr="00E80661">
              <w:rPr>
                <w:szCs w:val="22"/>
              </w:rPr>
              <w:t xml:space="preserve"> </w:t>
            </w:r>
            <w:r w:rsidR="00BE2E6B" w:rsidRPr="00E80661">
              <w:rPr>
                <w:szCs w:val="22"/>
              </w:rPr>
              <w:t xml:space="preserve">The file is </w:t>
            </w:r>
            <w:r w:rsidR="003E3BBB" w:rsidRPr="00E80661">
              <w:rPr>
                <w:szCs w:val="22"/>
              </w:rPr>
              <w:t xml:space="preserve">currently </w:t>
            </w:r>
            <w:r w:rsidR="00BE2E6B" w:rsidRPr="00E80661">
              <w:rPr>
                <w:szCs w:val="22"/>
              </w:rPr>
              <w:t xml:space="preserve">progressing in the European Parliament (CULT Committee </w:t>
            </w:r>
            <w:r w:rsidR="00A20348" w:rsidRPr="00E80661">
              <w:rPr>
                <w:szCs w:val="22"/>
              </w:rPr>
              <w:t>leading</w:t>
            </w:r>
            <w:r w:rsidR="00BE2E6B" w:rsidRPr="00E80661">
              <w:rPr>
                <w:szCs w:val="22"/>
              </w:rPr>
              <w:t xml:space="preserve">). </w:t>
            </w:r>
          </w:p>
        </w:tc>
      </w:tr>
    </w:tbl>
    <w:p w14:paraId="5C55BCF9" w14:textId="77777777" w:rsidR="00B562F5" w:rsidRPr="00E80661" w:rsidRDefault="00B562F5" w:rsidP="00AA068A"/>
    <w:p w14:paraId="5C55BCFA" w14:textId="77777777" w:rsidR="0001188D" w:rsidRPr="00E80661" w:rsidRDefault="0001188D" w:rsidP="00AA068A">
      <w:pPr>
        <w:rPr>
          <w:sz w:val="23"/>
          <w:szCs w:val="23"/>
        </w:rPr>
      </w:pPr>
    </w:p>
    <w:p w14:paraId="5C55BCFB" w14:textId="307A2DFF" w:rsidR="00B562F5" w:rsidRPr="00E80661" w:rsidRDefault="00B562F5" w:rsidP="00B562F5">
      <w:pPr>
        <w:rPr>
          <w:sz w:val="23"/>
          <w:szCs w:val="23"/>
        </w:rPr>
      </w:pPr>
      <w:r w:rsidRPr="00E80661">
        <w:rPr>
          <w:sz w:val="23"/>
          <w:szCs w:val="23"/>
        </w:rPr>
        <w:t>On 22 November 2016, the Council of the EU adopted a general approach</w:t>
      </w:r>
      <w:r w:rsidR="0001188D" w:rsidRPr="00E80661">
        <w:rPr>
          <w:rStyle w:val="FootnoteReference"/>
          <w:szCs w:val="23"/>
        </w:rPr>
        <w:footnoteReference w:id="58"/>
      </w:r>
      <w:r w:rsidRPr="00E80661">
        <w:rPr>
          <w:sz w:val="23"/>
          <w:szCs w:val="23"/>
        </w:rPr>
        <w:t xml:space="preserve"> regarding the proposal for a decision on a </w:t>
      </w:r>
      <w:r w:rsidRPr="00E80661">
        <w:rPr>
          <w:b/>
          <w:sz w:val="23"/>
          <w:szCs w:val="23"/>
        </w:rPr>
        <w:t>European Year of Cultural Heritage</w:t>
      </w:r>
      <w:r w:rsidR="00314D04">
        <w:rPr>
          <w:b/>
          <w:sz w:val="23"/>
          <w:szCs w:val="23"/>
        </w:rPr>
        <w:t xml:space="preserve"> (2018)</w:t>
      </w:r>
      <w:r w:rsidR="00F31DC1" w:rsidRPr="00644601">
        <w:footnoteReference w:id="59"/>
      </w:r>
      <w:r w:rsidRPr="00E80661">
        <w:t>.</w:t>
      </w:r>
      <w:r w:rsidRPr="00E80661">
        <w:rPr>
          <w:sz w:val="23"/>
          <w:szCs w:val="23"/>
        </w:rPr>
        <w:t xml:space="preserve"> </w:t>
      </w:r>
    </w:p>
    <w:p w14:paraId="5C55BCFC" w14:textId="668B867E" w:rsidR="00B562F5" w:rsidRPr="00E80661" w:rsidRDefault="00B562F5" w:rsidP="00B562F5">
      <w:pPr>
        <w:rPr>
          <w:sz w:val="23"/>
          <w:szCs w:val="23"/>
        </w:rPr>
      </w:pPr>
      <w:r w:rsidRPr="00E80661">
        <w:rPr>
          <w:sz w:val="23"/>
          <w:szCs w:val="23"/>
        </w:rPr>
        <w:t xml:space="preserve">The Council introduced several changes in the Commission proposal, some of which were </w:t>
      </w:r>
      <w:r w:rsidR="001A3BED" w:rsidRPr="00E80661">
        <w:rPr>
          <w:sz w:val="23"/>
          <w:szCs w:val="23"/>
        </w:rPr>
        <w:t xml:space="preserve">called </w:t>
      </w:r>
      <w:r w:rsidRPr="00E80661">
        <w:rPr>
          <w:sz w:val="23"/>
          <w:szCs w:val="23"/>
        </w:rPr>
        <w:t xml:space="preserve">for in the </w:t>
      </w:r>
      <w:r w:rsidRPr="00E80661">
        <w:rPr>
          <w:b/>
          <w:sz w:val="23"/>
          <w:szCs w:val="23"/>
        </w:rPr>
        <w:t xml:space="preserve">CoR </w:t>
      </w:r>
      <w:r w:rsidR="001A3BED" w:rsidRPr="00E80661">
        <w:rPr>
          <w:b/>
          <w:sz w:val="23"/>
          <w:szCs w:val="23"/>
        </w:rPr>
        <w:t>R</w:t>
      </w:r>
      <w:r w:rsidRPr="00E80661">
        <w:rPr>
          <w:b/>
          <w:sz w:val="23"/>
          <w:szCs w:val="23"/>
        </w:rPr>
        <w:t>esolution</w:t>
      </w:r>
      <w:r w:rsidR="0001188D" w:rsidRPr="00E80661">
        <w:rPr>
          <w:rStyle w:val="FootnoteReference"/>
          <w:szCs w:val="23"/>
        </w:rPr>
        <w:footnoteReference w:id="60"/>
      </w:r>
      <w:r w:rsidRPr="00E80661">
        <w:rPr>
          <w:sz w:val="23"/>
          <w:szCs w:val="23"/>
        </w:rPr>
        <w:t>:</w:t>
      </w:r>
    </w:p>
    <w:p w14:paraId="5C55BCFD" w14:textId="1BEFC557" w:rsidR="00B562F5" w:rsidRPr="00E80661" w:rsidRDefault="001A3BED" w:rsidP="00644601">
      <w:pPr>
        <w:pStyle w:val="ListParagraph"/>
        <w:numPr>
          <w:ilvl w:val="1"/>
          <w:numId w:val="30"/>
        </w:numPr>
        <w:ind w:left="1077" w:hanging="357"/>
        <w:rPr>
          <w:sz w:val="23"/>
          <w:szCs w:val="23"/>
        </w:rPr>
      </w:pPr>
      <w:r w:rsidRPr="00E80661">
        <w:rPr>
          <w:sz w:val="23"/>
          <w:szCs w:val="23"/>
        </w:rPr>
        <w:t xml:space="preserve">to </w:t>
      </w:r>
      <w:r w:rsidR="00B562F5" w:rsidRPr="00E80661">
        <w:rPr>
          <w:sz w:val="23"/>
          <w:szCs w:val="23"/>
        </w:rPr>
        <w:t>strengthen the role of Europeana, the EU digital platform for cultural heritage;</w:t>
      </w:r>
    </w:p>
    <w:p w14:paraId="5C55BCFE" w14:textId="20D1E252" w:rsidR="00B562F5" w:rsidRPr="00E80661" w:rsidRDefault="001A3BED" w:rsidP="00644601">
      <w:pPr>
        <w:pStyle w:val="ListParagraph"/>
        <w:numPr>
          <w:ilvl w:val="1"/>
          <w:numId w:val="30"/>
        </w:numPr>
        <w:ind w:left="1077" w:hanging="357"/>
        <w:rPr>
          <w:sz w:val="23"/>
          <w:szCs w:val="23"/>
        </w:rPr>
      </w:pPr>
      <w:r w:rsidRPr="00E80661">
        <w:rPr>
          <w:sz w:val="23"/>
          <w:szCs w:val="23"/>
        </w:rPr>
        <w:t xml:space="preserve">to </w:t>
      </w:r>
      <w:r w:rsidR="00B562F5" w:rsidRPr="00E80661">
        <w:rPr>
          <w:sz w:val="23"/>
          <w:szCs w:val="23"/>
        </w:rPr>
        <w:t xml:space="preserve">increase the use of media and social networks; </w:t>
      </w:r>
    </w:p>
    <w:p w14:paraId="5C55BCFF" w14:textId="75589031" w:rsidR="00B562F5" w:rsidRPr="00E80661" w:rsidRDefault="001A3BED" w:rsidP="00644601">
      <w:pPr>
        <w:pStyle w:val="ListParagraph"/>
        <w:numPr>
          <w:ilvl w:val="1"/>
          <w:numId w:val="30"/>
        </w:numPr>
        <w:rPr>
          <w:sz w:val="23"/>
          <w:szCs w:val="23"/>
        </w:rPr>
      </w:pPr>
      <w:r w:rsidRPr="00E80661">
        <w:rPr>
          <w:sz w:val="23"/>
          <w:szCs w:val="23"/>
        </w:rPr>
        <w:t xml:space="preserve">to </w:t>
      </w:r>
      <w:r w:rsidR="00B562F5" w:rsidRPr="00E80661">
        <w:rPr>
          <w:sz w:val="23"/>
          <w:szCs w:val="23"/>
        </w:rPr>
        <w:t>specify that the organisation of the Year at national level is the responsibility of Member States;</w:t>
      </w:r>
    </w:p>
    <w:p w14:paraId="5C55BD00" w14:textId="2C296F39" w:rsidR="00B562F5" w:rsidRPr="00E80661" w:rsidRDefault="001A3BED" w:rsidP="00644601">
      <w:pPr>
        <w:pStyle w:val="ListParagraph"/>
        <w:numPr>
          <w:ilvl w:val="1"/>
          <w:numId w:val="30"/>
        </w:numPr>
        <w:ind w:left="1077" w:hanging="357"/>
        <w:rPr>
          <w:sz w:val="23"/>
          <w:szCs w:val="23"/>
        </w:rPr>
      </w:pPr>
      <w:r w:rsidRPr="00E80661">
        <w:rPr>
          <w:sz w:val="23"/>
          <w:szCs w:val="23"/>
        </w:rPr>
        <w:t xml:space="preserve">to </w:t>
      </w:r>
      <w:r w:rsidR="00B562F5" w:rsidRPr="00E80661">
        <w:rPr>
          <w:sz w:val="23"/>
          <w:szCs w:val="23"/>
        </w:rPr>
        <w:t xml:space="preserve">promote a bottom-up approach </w:t>
      </w:r>
      <w:r w:rsidR="00263696" w:rsidRPr="00E80661">
        <w:rPr>
          <w:sz w:val="23"/>
          <w:szCs w:val="23"/>
        </w:rPr>
        <w:t>involving</w:t>
      </w:r>
      <w:r w:rsidR="00B562F5" w:rsidRPr="00E80661">
        <w:rPr>
          <w:sz w:val="23"/>
          <w:szCs w:val="23"/>
        </w:rPr>
        <w:t xml:space="preserve"> civil society;</w:t>
      </w:r>
    </w:p>
    <w:p w14:paraId="5C55BD01" w14:textId="2FD4FF55" w:rsidR="00B562F5" w:rsidRPr="00E80661" w:rsidRDefault="00C63BEA" w:rsidP="00644601">
      <w:pPr>
        <w:pStyle w:val="ListParagraph"/>
        <w:numPr>
          <w:ilvl w:val="1"/>
          <w:numId w:val="30"/>
        </w:numPr>
        <w:ind w:left="1077" w:hanging="357"/>
        <w:rPr>
          <w:sz w:val="23"/>
          <w:szCs w:val="23"/>
        </w:rPr>
      </w:pPr>
      <w:r>
        <w:rPr>
          <w:sz w:val="23"/>
          <w:szCs w:val="23"/>
        </w:rPr>
        <w:t xml:space="preserve">to </w:t>
      </w:r>
      <w:r w:rsidR="00B562F5" w:rsidRPr="00E80661">
        <w:rPr>
          <w:sz w:val="23"/>
          <w:szCs w:val="23"/>
        </w:rPr>
        <w:t>reinforce cooperation with international organisations.</w:t>
      </w:r>
    </w:p>
    <w:p w14:paraId="5C55BD02" w14:textId="77777777" w:rsidR="009F44C7" w:rsidRPr="00E80661" w:rsidRDefault="009F44C7" w:rsidP="00644601">
      <w:pPr>
        <w:pStyle w:val="ListParagraph"/>
        <w:ind w:left="1080"/>
        <w:rPr>
          <w:sz w:val="23"/>
          <w:szCs w:val="23"/>
        </w:rPr>
      </w:pPr>
    </w:p>
    <w:p w14:paraId="5C55BD03" w14:textId="77777777" w:rsidR="00B562F5" w:rsidRPr="00E80661" w:rsidRDefault="00B562F5" w:rsidP="00B562F5">
      <w:pPr>
        <w:rPr>
          <w:sz w:val="23"/>
          <w:szCs w:val="23"/>
        </w:rPr>
      </w:pPr>
      <w:r w:rsidRPr="00E80661">
        <w:rPr>
          <w:sz w:val="23"/>
          <w:szCs w:val="23"/>
        </w:rPr>
        <w:t xml:space="preserve">The </w:t>
      </w:r>
      <w:r w:rsidR="00C51AA6" w:rsidRPr="00E80661">
        <w:rPr>
          <w:sz w:val="23"/>
          <w:szCs w:val="23"/>
        </w:rPr>
        <w:t>EP</w:t>
      </w:r>
      <w:r w:rsidRPr="00E80661">
        <w:rPr>
          <w:sz w:val="23"/>
          <w:szCs w:val="23"/>
        </w:rPr>
        <w:t xml:space="preserve"> </w:t>
      </w:r>
      <w:r w:rsidR="00C51AA6" w:rsidRPr="00E80661">
        <w:rPr>
          <w:sz w:val="23"/>
          <w:szCs w:val="23"/>
        </w:rPr>
        <w:t>Culture and Education Committee (</w:t>
      </w:r>
      <w:r w:rsidRPr="00E80661">
        <w:rPr>
          <w:sz w:val="23"/>
          <w:szCs w:val="23"/>
        </w:rPr>
        <w:t>CULT</w:t>
      </w:r>
      <w:r w:rsidR="00C51AA6" w:rsidRPr="00E80661">
        <w:rPr>
          <w:sz w:val="23"/>
          <w:szCs w:val="23"/>
        </w:rPr>
        <w:t>)</w:t>
      </w:r>
      <w:r w:rsidRPr="00E80661">
        <w:rPr>
          <w:sz w:val="23"/>
          <w:szCs w:val="23"/>
        </w:rPr>
        <w:t xml:space="preserve"> </w:t>
      </w:r>
      <w:r w:rsidR="00C51AA6" w:rsidRPr="00E80661">
        <w:rPr>
          <w:sz w:val="23"/>
          <w:szCs w:val="23"/>
        </w:rPr>
        <w:t>report</w:t>
      </w:r>
      <w:r w:rsidR="004A3D1F" w:rsidRPr="00E80661">
        <w:rPr>
          <w:rStyle w:val="FootnoteReference"/>
          <w:szCs w:val="23"/>
        </w:rPr>
        <w:footnoteReference w:id="61"/>
      </w:r>
      <w:r w:rsidRPr="00E80661">
        <w:rPr>
          <w:sz w:val="23"/>
          <w:szCs w:val="23"/>
        </w:rPr>
        <w:t xml:space="preserve"> mentions the CoR Resolution and takes on board several amendments proposed</w:t>
      </w:r>
      <w:r w:rsidR="0094413D" w:rsidRPr="00E80661">
        <w:rPr>
          <w:sz w:val="23"/>
          <w:szCs w:val="23"/>
        </w:rPr>
        <w:t>:</w:t>
      </w:r>
    </w:p>
    <w:p w14:paraId="5C55BD04" w14:textId="4C9CB5E6" w:rsidR="0094413D" w:rsidRPr="00E80661" w:rsidRDefault="00014A33" w:rsidP="00644601">
      <w:pPr>
        <w:pStyle w:val="ListParagraph"/>
        <w:numPr>
          <w:ilvl w:val="1"/>
          <w:numId w:val="30"/>
        </w:numPr>
        <w:ind w:left="1077" w:hanging="357"/>
        <w:rPr>
          <w:sz w:val="23"/>
          <w:szCs w:val="23"/>
        </w:rPr>
      </w:pPr>
      <w:r w:rsidRPr="00E80661">
        <w:rPr>
          <w:sz w:val="23"/>
          <w:szCs w:val="23"/>
        </w:rPr>
        <w:t xml:space="preserve">to </w:t>
      </w:r>
      <w:r w:rsidR="0094413D" w:rsidRPr="00E80661">
        <w:rPr>
          <w:sz w:val="23"/>
          <w:szCs w:val="23"/>
        </w:rPr>
        <w:t xml:space="preserve">seek complementarities between the European Heritage Label and the European Capitals of Culture initiatives and the European Year of Cultural Heritage (Amendment 3 in the CoR </w:t>
      </w:r>
      <w:r w:rsidRPr="00E80661">
        <w:rPr>
          <w:sz w:val="23"/>
          <w:szCs w:val="23"/>
        </w:rPr>
        <w:t>R</w:t>
      </w:r>
      <w:r w:rsidR="0094413D" w:rsidRPr="00E80661">
        <w:rPr>
          <w:sz w:val="23"/>
          <w:szCs w:val="23"/>
        </w:rPr>
        <w:t>esolution);</w:t>
      </w:r>
    </w:p>
    <w:p w14:paraId="5C55BD05" w14:textId="32FB0A61" w:rsidR="0094413D" w:rsidRPr="00E80661" w:rsidRDefault="00014A33" w:rsidP="00644601">
      <w:pPr>
        <w:pStyle w:val="ListParagraph"/>
        <w:numPr>
          <w:ilvl w:val="1"/>
          <w:numId w:val="30"/>
        </w:numPr>
        <w:ind w:left="1077" w:hanging="357"/>
        <w:rPr>
          <w:sz w:val="23"/>
          <w:szCs w:val="23"/>
        </w:rPr>
      </w:pPr>
      <w:r w:rsidRPr="00E80661">
        <w:rPr>
          <w:sz w:val="23"/>
          <w:szCs w:val="23"/>
        </w:rPr>
        <w:t xml:space="preserve">to </w:t>
      </w:r>
      <w:r w:rsidR="0094413D" w:rsidRPr="00E80661">
        <w:rPr>
          <w:sz w:val="23"/>
          <w:szCs w:val="23"/>
        </w:rPr>
        <w:t xml:space="preserve">ensure coordination at Member State level (Amendment 5 in the CoR </w:t>
      </w:r>
      <w:r w:rsidR="001861E1" w:rsidRPr="00E80661">
        <w:rPr>
          <w:sz w:val="23"/>
          <w:szCs w:val="23"/>
        </w:rPr>
        <w:t>R</w:t>
      </w:r>
      <w:r w:rsidR="0094413D" w:rsidRPr="00E80661">
        <w:rPr>
          <w:sz w:val="23"/>
          <w:szCs w:val="23"/>
        </w:rPr>
        <w:t>esolution);</w:t>
      </w:r>
    </w:p>
    <w:p w14:paraId="5C55BD06" w14:textId="63C9EC33" w:rsidR="0094413D" w:rsidRPr="00E80661" w:rsidRDefault="00014A33" w:rsidP="00644601">
      <w:pPr>
        <w:pStyle w:val="ListParagraph"/>
        <w:numPr>
          <w:ilvl w:val="1"/>
          <w:numId w:val="30"/>
        </w:numPr>
        <w:rPr>
          <w:sz w:val="23"/>
          <w:szCs w:val="23"/>
        </w:rPr>
      </w:pPr>
      <w:r w:rsidRPr="00E80661">
        <w:rPr>
          <w:sz w:val="23"/>
          <w:szCs w:val="23"/>
        </w:rPr>
        <w:t xml:space="preserve">to </w:t>
      </w:r>
      <w:r w:rsidR="0094413D" w:rsidRPr="00E80661">
        <w:rPr>
          <w:sz w:val="23"/>
          <w:szCs w:val="23"/>
        </w:rPr>
        <w:t xml:space="preserve">respect the freedom of the arts, in accordance with Article 13 of the Charter of Fundamental Rights of the European Union (Amendment 3 in the CoR </w:t>
      </w:r>
      <w:r w:rsidR="001861E1" w:rsidRPr="00E80661">
        <w:rPr>
          <w:sz w:val="23"/>
          <w:szCs w:val="23"/>
        </w:rPr>
        <w:t>R</w:t>
      </w:r>
      <w:r w:rsidR="0094413D" w:rsidRPr="00E80661">
        <w:rPr>
          <w:sz w:val="23"/>
          <w:szCs w:val="23"/>
        </w:rPr>
        <w:t>esolution)</w:t>
      </w:r>
      <w:r w:rsidR="00340897" w:rsidRPr="00E80661">
        <w:rPr>
          <w:sz w:val="23"/>
          <w:szCs w:val="23"/>
        </w:rPr>
        <w:t>;</w:t>
      </w:r>
    </w:p>
    <w:p w14:paraId="5C55BD07" w14:textId="54363185" w:rsidR="0094413D" w:rsidRPr="00E80661" w:rsidRDefault="00340897" w:rsidP="00644601">
      <w:pPr>
        <w:pStyle w:val="ListParagraph"/>
        <w:numPr>
          <w:ilvl w:val="1"/>
          <w:numId w:val="30"/>
        </w:numPr>
        <w:rPr>
          <w:sz w:val="23"/>
          <w:szCs w:val="23"/>
        </w:rPr>
      </w:pPr>
      <w:r w:rsidRPr="00E80661">
        <w:rPr>
          <w:sz w:val="23"/>
          <w:szCs w:val="23"/>
        </w:rPr>
        <w:t xml:space="preserve">the activities organised in the framework of the European Year may be co-financed through dedicated grants from national, regional and local authorities in the Member States and through flexible funding mechanisms such as public-private partnerships or crowdfunding (in </w:t>
      </w:r>
      <w:r w:rsidR="001861E1" w:rsidRPr="00E80661">
        <w:rPr>
          <w:sz w:val="23"/>
          <w:szCs w:val="23"/>
        </w:rPr>
        <w:t>point</w:t>
      </w:r>
      <w:r w:rsidRPr="00E80661">
        <w:rPr>
          <w:sz w:val="23"/>
          <w:szCs w:val="23"/>
        </w:rPr>
        <w:t xml:space="preserve"> 14, the CoR </w:t>
      </w:r>
      <w:r w:rsidR="001861E1" w:rsidRPr="00E80661">
        <w:rPr>
          <w:sz w:val="23"/>
          <w:szCs w:val="23"/>
        </w:rPr>
        <w:t>R</w:t>
      </w:r>
      <w:r w:rsidRPr="00E80661">
        <w:rPr>
          <w:sz w:val="23"/>
          <w:szCs w:val="23"/>
        </w:rPr>
        <w:t xml:space="preserve">esolution warns about considerable funding fluctuations from one </w:t>
      </w:r>
      <w:r w:rsidR="001861E1" w:rsidRPr="00E80661">
        <w:rPr>
          <w:sz w:val="23"/>
          <w:szCs w:val="23"/>
        </w:rPr>
        <w:t>y</w:t>
      </w:r>
      <w:r w:rsidRPr="00E80661">
        <w:rPr>
          <w:sz w:val="23"/>
          <w:szCs w:val="23"/>
        </w:rPr>
        <w:t>ear to the next, which may jeopardise the attainment of goals).</w:t>
      </w:r>
    </w:p>
    <w:p w14:paraId="5C55BD08" w14:textId="77777777" w:rsidR="00177055" w:rsidRPr="00E80661" w:rsidRDefault="00177055" w:rsidP="00644601">
      <w:pPr>
        <w:pStyle w:val="ListParagraph"/>
        <w:ind w:left="1080"/>
        <w:rPr>
          <w:sz w:val="23"/>
          <w:szCs w:val="23"/>
        </w:rPr>
      </w:pPr>
    </w:p>
    <w:p w14:paraId="5C55BD09" w14:textId="77777777" w:rsidR="00AB0A49" w:rsidRPr="00E80661" w:rsidRDefault="00AB0A49" w:rsidP="00AB0A49">
      <w:pPr>
        <w:spacing w:line="240" w:lineRule="auto"/>
        <w:jc w:val="left"/>
        <w:rPr>
          <w:sz w:val="24"/>
          <w:szCs w:val="24"/>
          <w:lang w:eastAsia="en-GB"/>
        </w:rPr>
      </w:pPr>
      <w:r w:rsidRPr="00E80661">
        <w:rPr>
          <w:sz w:val="23"/>
          <w:szCs w:val="23"/>
        </w:rPr>
        <w:t>The</w:t>
      </w:r>
      <w:r w:rsidRPr="00E80661">
        <w:t xml:space="preserve"> Decision of the European Parliament and of the Council on a European Year of Cultural Heritage (2018)</w:t>
      </w:r>
      <w:r w:rsidRPr="00E80661">
        <w:rPr>
          <w:rStyle w:val="FootnoteReference"/>
        </w:rPr>
        <w:footnoteReference w:id="62"/>
      </w:r>
      <w:r w:rsidRPr="00E80661">
        <w:t xml:space="preserve"> was adopted by the Council of the EU on 11 May 2017 following a political agreement with the European Parliament.</w:t>
      </w:r>
      <w:r w:rsidRPr="00E80661">
        <w:rPr>
          <w:sz w:val="24"/>
          <w:szCs w:val="24"/>
          <w:lang w:eastAsia="en-GB"/>
        </w:rPr>
        <w:t xml:space="preserve"> </w:t>
      </w:r>
    </w:p>
    <w:p w14:paraId="5C55BD0A" w14:textId="77777777" w:rsidR="00E96328" w:rsidRPr="00E80661" w:rsidRDefault="00E96328" w:rsidP="00B562F5">
      <w:pPr>
        <w:rPr>
          <w:sz w:val="23"/>
          <w:szCs w:val="23"/>
        </w:rPr>
      </w:pPr>
    </w:p>
    <w:p w14:paraId="5C55BD0B" w14:textId="77777777" w:rsidR="00B562F5" w:rsidRPr="00E80661" w:rsidRDefault="00B562F5" w:rsidP="00B562F5">
      <w:r w:rsidRPr="00E80661">
        <w:t>The European Parliament Resolution of 27 October 2016 on the assessment of the EU Youth Strategy 2013-2015</w:t>
      </w:r>
      <w:r w:rsidR="00EE343E" w:rsidRPr="00E80661">
        <w:rPr>
          <w:rStyle w:val="FootnoteReference"/>
        </w:rPr>
        <w:footnoteReference w:id="63"/>
      </w:r>
      <w:r w:rsidRPr="00E80661">
        <w:t xml:space="preserve"> echoes several points highlighted in the CoR opinion on </w:t>
      </w:r>
      <w:r w:rsidRPr="00E80661">
        <w:rPr>
          <w:b/>
        </w:rPr>
        <w:t>European cooperation in the youth field (2010-2018)</w:t>
      </w:r>
      <w:r w:rsidR="00EE343E" w:rsidRPr="00E80661">
        <w:rPr>
          <w:rStyle w:val="FootnoteReference"/>
        </w:rPr>
        <w:footnoteReference w:id="64"/>
      </w:r>
      <w:r w:rsidRPr="00E80661">
        <w:rPr>
          <w:b/>
        </w:rPr>
        <w:t>.</w:t>
      </w:r>
    </w:p>
    <w:p w14:paraId="5C55BD0C" w14:textId="77777777" w:rsidR="00B562F5" w:rsidRPr="00E80661" w:rsidRDefault="00B562F5" w:rsidP="00644601">
      <w:pPr>
        <w:pStyle w:val="ListParagraph"/>
        <w:numPr>
          <w:ilvl w:val="0"/>
          <w:numId w:val="21"/>
        </w:numPr>
      </w:pPr>
      <w:r w:rsidRPr="00E80661">
        <w:t>Young people should be actively involved in the planning, development, implementation, monitoring and assessment of all youth policies;</w:t>
      </w:r>
    </w:p>
    <w:p w14:paraId="5C55BD0D" w14:textId="78C48E57" w:rsidR="00B562F5" w:rsidRPr="00E80661" w:rsidRDefault="00177055" w:rsidP="00644601">
      <w:pPr>
        <w:pStyle w:val="ListParagraph"/>
        <w:numPr>
          <w:ilvl w:val="0"/>
          <w:numId w:val="21"/>
        </w:numPr>
      </w:pPr>
      <w:r w:rsidRPr="00E80661">
        <w:t>y</w:t>
      </w:r>
      <w:r w:rsidR="00B562F5" w:rsidRPr="00E80661">
        <w:t>oung people should be helped and empowered to address the extremely serious problems they currently face;</w:t>
      </w:r>
    </w:p>
    <w:p w14:paraId="5C55BD0E" w14:textId="2795A19C" w:rsidR="00B562F5" w:rsidRPr="00E80661" w:rsidRDefault="00177055" w:rsidP="00644601">
      <w:pPr>
        <w:pStyle w:val="ListParagraph"/>
        <w:numPr>
          <w:ilvl w:val="0"/>
          <w:numId w:val="21"/>
        </w:numPr>
      </w:pPr>
      <w:r w:rsidRPr="00E80661">
        <w:t>i</w:t>
      </w:r>
      <w:r w:rsidR="00B562F5" w:rsidRPr="00E80661">
        <w:t>t is important to underline that young people are politically engaged in many ways;</w:t>
      </w:r>
    </w:p>
    <w:p w14:paraId="5C55BD0F" w14:textId="326596D8" w:rsidR="00B562F5" w:rsidRPr="00E80661" w:rsidRDefault="00177055" w:rsidP="00644601">
      <w:pPr>
        <w:pStyle w:val="ListParagraph"/>
        <w:numPr>
          <w:ilvl w:val="0"/>
          <w:numId w:val="21"/>
        </w:numPr>
      </w:pPr>
      <w:r w:rsidRPr="00E80661">
        <w:t>i</w:t>
      </w:r>
      <w:r w:rsidR="00B562F5" w:rsidRPr="00E80661">
        <w:t xml:space="preserve">t is important to ensure that all young people have access to quality education; </w:t>
      </w:r>
    </w:p>
    <w:p w14:paraId="5C55BD10" w14:textId="29FE0167" w:rsidR="00B562F5" w:rsidRPr="00E80661" w:rsidRDefault="00177055" w:rsidP="00644601">
      <w:pPr>
        <w:pStyle w:val="ListParagraph"/>
        <w:numPr>
          <w:ilvl w:val="0"/>
          <w:numId w:val="21"/>
        </w:numPr>
      </w:pPr>
      <w:r w:rsidRPr="00E80661">
        <w:t>t</w:t>
      </w:r>
      <w:r w:rsidR="00B562F5" w:rsidRPr="00E80661">
        <w:t>he needs of young people affected by multiple discrimination;</w:t>
      </w:r>
    </w:p>
    <w:p w14:paraId="5C55BD11" w14:textId="108890D5" w:rsidR="00B562F5" w:rsidRPr="00E80661" w:rsidRDefault="00177055" w:rsidP="00644601">
      <w:pPr>
        <w:pStyle w:val="ListParagraph"/>
        <w:numPr>
          <w:ilvl w:val="0"/>
          <w:numId w:val="21"/>
        </w:numPr>
      </w:pPr>
      <w:r w:rsidRPr="00E80661">
        <w:t>s</w:t>
      </w:r>
      <w:r w:rsidR="00B562F5" w:rsidRPr="00E80661">
        <w:t>tresses the importance of cross-sectoral cooperation at all levels;</w:t>
      </w:r>
    </w:p>
    <w:p w14:paraId="5C55BD12" w14:textId="6228E8A2" w:rsidR="00B562F5" w:rsidRPr="00E80661" w:rsidRDefault="00177055" w:rsidP="00644601">
      <w:pPr>
        <w:pStyle w:val="ListParagraph"/>
        <w:numPr>
          <w:ilvl w:val="0"/>
          <w:numId w:val="21"/>
        </w:numPr>
      </w:pPr>
      <w:r w:rsidRPr="00E80661">
        <w:t>s</w:t>
      </w:r>
      <w:r w:rsidR="00B562F5" w:rsidRPr="00E80661">
        <w:t xml:space="preserve">uggests involving local and regional authorities in the area of youth policy; </w:t>
      </w:r>
    </w:p>
    <w:p w14:paraId="5C55BD13" w14:textId="567183F7" w:rsidR="00B562F5" w:rsidRPr="00E80661" w:rsidRDefault="00177055" w:rsidP="00644601">
      <w:pPr>
        <w:pStyle w:val="ListParagraph"/>
        <w:numPr>
          <w:ilvl w:val="0"/>
          <w:numId w:val="21"/>
        </w:numPr>
      </w:pPr>
      <w:r w:rsidRPr="00E80661">
        <w:t>e</w:t>
      </w:r>
      <w:r w:rsidR="00B562F5" w:rsidRPr="00E80661">
        <w:t>ducation should also contribute to the personal development and growth of young people;</w:t>
      </w:r>
    </w:p>
    <w:p w14:paraId="5C55BD14" w14:textId="5BE070E6" w:rsidR="00B562F5" w:rsidRPr="00E80661" w:rsidRDefault="00177055" w:rsidP="00644601">
      <w:pPr>
        <w:pStyle w:val="ListParagraph"/>
        <w:numPr>
          <w:ilvl w:val="0"/>
          <w:numId w:val="21"/>
        </w:numPr>
      </w:pPr>
      <w:r w:rsidRPr="00E80661">
        <w:t>s</w:t>
      </w:r>
      <w:r w:rsidR="00B562F5" w:rsidRPr="00E80661">
        <w:t xml:space="preserve">tresses the vital importance of informal and non-formal learning, the arts, sport, volunteering and social activities; </w:t>
      </w:r>
    </w:p>
    <w:p w14:paraId="5C55BD15" w14:textId="77777777" w:rsidR="0008201B" w:rsidRPr="00E80661" w:rsidRDefault="0008201B" w:rsidP="00644601">
      <w:pPr>
        <w:pStyle w:val="ListParagraph"/>
        <w:ind w:left="0"/>
      </w:pPr>
    </w:p>
    <w:p w14:paraId="5C55BD16" w14:textId="032B73CB" w:rsidR="00755BE0" w:rsidRPr="00E80661" w:rsidRDefault="00B562F5" w:rsidP="00644601">
      <w:pPr>
        <w:pStyle w:val="ListParagraph"/>
        <w:ind w:left="0"/>
      </w:pPr>
      <w:r w:rsidRPr="00E80661">
        <w:t xml:space="preserve">The Council </w:t>
      </w:r>
      <w:r w:rsidR="006D575A">
        <w:t>c</w:t>
      </w:r>
      <w:r w:rsidRPr="00E80661">
        <w:t xml:space="preserve">onclusions of 21 November 2016 on Promoting new approaches in youth work to uncover and develop </w:t>
      </w:r>
      <w:r w:rsidR="00DC49F6" w:rsidRPr="00E80661">
        <w:t>the potential of young people</w:t>
      </w:r>
      <w:r w:rsidR="009948CA" w:rsidRPr="00E80661">
        <w:rPr>
          <w:rStyle w:val="FootnoteReference"/>
        </w:rPr>
        <w:footnoteReference w:id="65"/>
      </w:r>
      <w:r w:rsidR="00DC49F6" w:rsidRPr="00E80661">
        <w:t xml:space="preserve"> </w:t>
      </w:r>
      <w:r w:rsidRPr="00E80661">
        <w:t xml:space="preserve">echo several points </w:t>
      </w:r>
      <w:bookmarkStart w:id="58" w:name="_Toc476318419"/>
      <w:bookmarkStart w:id="59" w:name="_Toc477787144"/>
      <w:bookmarkStart w:id="60" w:name="_Toc477798417"/>
      <w:bookmarkStart w:id="61" w:name="_Toc477800249"/>
      <w:bookmarkStart w:id="62" w:name="_Toc477800300"/>
      <w:bookmarkStart w:id="63" w:name="_Toc477800351"/>
      <w:r w:rsidR="00755BE0" w:rsidRPr="00E80661">
        <w:t>highlighted in the CoR opinion.</w:t>
      </w:r>
    </w:p>
    <w:p w14:paraId="5C55BD17" w14:textId="77777777" w:rsidR="00755BE0" w:rsidRPr="00E80661" w:rsidRDefault="00B562F5" w:rsidP="00644601">
      <w:pPr>
        <w:pStyle w:val="ListParagraph"/>
        <w:numPr>
          <w:ilvl w:val="0"/>
          <w:numId w:val="48"/>
        </w:numPr>
      </w:pPr>
      <w:r w:rsidRPr="00E80661">
        <w:t>The EU and its Member States need to support and promote the implementation of effective cross-sectoral policies;</w:t>
      </w:r>
      <w:bookmarkEnd w:id="58"/>
      <w:bookmarkEnd w:id="59"/>
      <w:bookmarkEnd w:id="60"/>
      <w:bookmarkEnd w:id="61"/>
      <w:bookmarkEnd w:id="62"/>
      <w:bookmarkEnd w:id="63"/>
      <w:r w:rsidRPr="00E80661">
        <w:t xml:space="preserve"> </w:t>
      </w:r>
      <w:bookmarkStart w:id="64" w:name="_Toc476318420"/>
      <w:bookmarkStart w:id="65" w:name="_Toc477787145"/>
      <w:bookmarkStart w:id="66" w:name="_Toc477798418"/>
      <w:bookmarkStart w:id="67" w:name="_Toc477800250"/>
      <w:bookmarkStart w:id="68" w:name="_Toc477800301"/>
      <w:bookmarkStart w:id="69" w:name="_Toc477800352"/>
    </w:p>
    <w:p w14:paraId="5C55BD18" w14:textId="5B366FFA" w:rsidR="00755BE0" w:rsidRPr="00E80661" w:rsidRDefault="00177055" w:rsidP="00644601">
      <w:pPr>
        <w:pStyle w:val="ListParagraph"/>
        <w:numPr>
          <w:ilvl w:val="0"/>
          <w:numId w:val="48"/>
        </w:numPr>
      </w:pPr>
      <w:r w:rsidRPr="00E80661">
        <w:t>y</w:t>
      </w:r>
      <w:r w:rsidR="00B562F5" w:rsidRPr="00E80661">
        <w:t>oung people themselves should play a crucial role in design</w:t>
      </w:r>
      <w:r w:rsidR="00C17908" w:rsidRPr="00E80661">
        <w:t>ing</w:t>
      </w:r>
      <w:r w:rsidR="00B562F5" w:rsidRPr="00E80661">
        <w:t>, develop</w:t>
      </w:r>
      <w:r w:rsidR="00C17908" w:rsidRPr="00E80661">
        <w:t>ing</w:t>
      </w:r>
      <w:r w:rsidR="00B562F5" w:rsidRPr="00E80661">
        <w:t xml:space="preserve"> and implement</w:t>
      </w:r>
      <w:r w:rsidR="00C17908" w:rsidRPr="00E80661">
        <w:t xml:space="preserve">ing </w:t>
      </w:r>
      <w:r w:rsidR="00B562F5" w:rsidRPr="00E80661">
        <w:t>the innovation process of youth work;</w:t>
      </w:r>
      <w:bookmarkEnd w:id="64"/>
      <w:bookmarkEnd w:id="65"/>
      <w:bookmarkEnd w:id="66"/>
      <w:bookmarkEnd w:id="67"/>
      <w:bookmarkEnd w:id="68"/>
      <w:bookmarkEnd w:id="69"/>
      <w:r w:rsidR="00B562F5" w:rsidRPr="00E80661">
        <w:t xml:space="preserve"> </w:t>
      </w:r>
      <w:bookmarkStart w:id="70" w:name="_Toc476318421"/>
      <w:bookmarkStart w:id="71" w:name="_Toc477787146"/>
      <w:bookmarkStart w:id="72" w:name="_Toc477798419"/>
      <w:bookmarkStart w:id="73" w:name="_Toc477800251"/>
      <w:bookmarkStart w:id="74" w:name="_Toc477800302"/>
      <w:bookmarkStart w:id="75" w:name="_Toc477800353"/>
    </w:p>
    <w:p w14:paraId="5C55BD19" w14:textId="475C3884" w:rsidR="00755BE0" w:rsidRPr="00E80661" w:rsidRDefault="00177055" w:rsidP="00644601">
      <w:pPr>
        <w:pStyle w:val="ListParagraph"/>
        <w:numPr>
          <w:ilvl w:val="0"/>
          <w:numId w:val="48"/>
        </w:numPr>
      </w:pPr>
      <w:r w:rsidRPr="00E80661">
        <w:t>w</w:t>
      </w:r>
      <w:r w:rsidR="00B562F5" w:rsidRPr="00E80661">
        <w:t>ork closely with the representatives of regional and local authorities, youth councils and youth work organisations, young people and other actors in the youth field;</w:t>
      </w:r>
      <w:bookmarkEnd w:id="70"/>
      <w:bookmarkEnd w:id="71"/>
      <w:bookmarkEnd w:id="72"/>
      <w:bookmarkEnd w:id="73"/>
      <w:bookmarkEnd w:id="74"/>
      <w:bookmarkEnd w:id="75"/>
      <w:r w:rsidR="00B562F5" w:rsidRPr="00E80661">
        <w:t xml:space="preserve"> </w:t>
      </w:r>
      <w:bookmarkStart w:id="76" w:name="_Toc476318422"/>
      <w:bookmarkStart w:id="77" w:name="_Toc477787147"/>
      <w:bookmarkStart w:id="78" w:name="_Toc477798420"/>
      <w:bookmarkStart w:id="79" w:name="_Toc477800252"/>
      <w:bookmarkStart w:id="80" w:name="_Toc477800303"/>
      <w:bookmarkStart w:id="81" w:name="_Toc477800354"/>
    </w:p>
    <w:p w14:paraId="5C55BD1A" w14:textId="7D1C6D79" w:rsidR="00B562F5" w:rsidRPr="00E80661" w:rsidRDefault="003B398B" w:rsidP="00644601">
      <w:pPr>
        <w:pStyle w:val="ListParagraph"/>
        <w:numPr>
          <w:ilvl w:val="0"/>
          <w:numId w:val="48"/>
        </w:numPr>
      </w:pPr>
      <w:r w:rsidRPr="00E80661">
        <w:t xml:space="preserve">carry out </w:t>
      </w:r>
      <w:r w:rsidR="00B562F5" w:rsidRPr="00E80661">
        <w:t>regular analys</w:t>
      </w:r>
      <w:r w:rsidR="00020AA1">
        <w:t>i</w:t>
      </w:r>
      <w:r w:rsidR="00B562F5" w:rsidRPr="00E80661">
        <w:t>s</w:t>
      </w:r>
      <w:r w:rsidR="0008201B" w:rsidRPr="00E80661">
        <w:t>.</w:t>
      </w:r>
      <w:bookmarkEnd w:id="76"/>
      <w:bookmarkEnd w:id="77"/>
      <w:bookmarkEnd w:id="78"/>
      <w:bookmarkEnd w:id="79"/>
      <w:bookmarkEnd w:id="80"/>
      <w:bookmarkEnd w:id="81"/>
    </w:p>
    <w:bookmarkEnd w:id="51"/>
    <w:p w14:paraId="5C55BD23" w14:textId="7F2F8953" w:rsidR="00E24A1B" w:rsidRPr="00E80661" w:rsidRDefault="00E24A1B" w:rsidP="00644601">
      <w:pPr>
        <w:pStyle w:val="ListParagraph"/>
        <w:ind w:left="720"/>
        <w:rPr>
          <w:rFonts w:ascii="Cambria" w:hAnsi="Cambria"/>
        </w:rPr>
      </w:pPr>
      <w:r w:rsidRPr="00E80661">
        <w:rPr>
          <w:rFonts w:ascii="Cambria" w:hAnsi="Cambria"/>
        </w:rPr>
        <w:t xml:space="preserve"> </w:t>
      </w:r>
    </w:p>
    <w:p w14:paraId="5C55BD24" w14:textId="77777777" w:rsidR="00A83299" w:rsidRPr="00E80661" w:rsidRDefault="00A83299" w:rsidP="00707FB6">
      <w:pPr>
        <w:rPr>
          <w:rFonts w:ascii="Cambria" w:hAnsi="Cambria"/>
        </w:rPr>
      </w:pPr>
    </w:p>
    <w:p w14:paraId="5C55BD25" w14:textId="77777777" w:rsidR="00707FB6" w:rsidRPr="00644601" w:rsidRDefault="00707FB6" w:rsidP="00707FB6">
      <w:pPr>
        <w:numPr>
          <w:ilvl w:val="0"/>
          <w:numId w:val="1"/>
        </w:numPr>
        <w:outlineLvl w:val="0"/>
        <w:rPr>
          <w:b/>
          <w:kern w:val="28"/>
        </w:rPr>
      </w:pPr>
      <w:r w:rsidRPr="00644601">
        <w:rPr>
          <w:b/>
          <w:kern w:val="28"/>
        </w:rPr>
        <w:t xml:space="preserve"> </w:t>
      </w:r>
      <w:bookmarkStart w:id="82" w:name="_Toc478112417"/>
      <w:bookmarkStart w:id="83" w:name="_Toc486243288"/>
      <w:bookmarkStart w:id="84" w:name="_Toc485373840"/>
      <w:r w:rsidRPr="00644601">
        <w:rPr>
          <w:b/>
          <w:kern w:val="28"/>
        </w:rPr>
        <w:t>Environment, Climate Change and Energy</w:t>
      </w:r>
      <w:bookmarkEnd w:id="82"/>
      <w:bookmarkEnd w:id="83"/>
      <w:bookmarkEnd w:id="84"/>
    </w:p>
    <w:p w14:paraId="4072CB46" w14:textId="77777777" w:rsidR="00BD7323" w:rsidRPr="00E80661" w:rsidRDefault="00BD7323" w:rsidP="00BD7323">
      <w:pPr>
        <w:rPr>
          <w:szCs w:val="22"/>
        </w:rPr>
      </w:pPr>
    </w:p>
    <w:p w14:paraId="6E4F7AAA" w14:textId="77777777" w:rsidR="00AB4E23" w:rsidRPr="00E80661" w:rsidRDefault="00AB4E23" w:rsidP="00AB4E23">
      <w:pPr>
        <w:numPr>
          <w:ilvl w:val="1"/>
          <w:numId w:val="1"/>
        </w:numPr>
        <w:outlineLvl w:val="1"/>
        <w:rPr>
          <w:b/>
          <w:szCs w:val="22"/>
        </w:rPr>
      </w:pPr>
      <w:bookmarkStart w:id="85" w:name="_Toc478112418"/>
      <w:bookmarkStart w:id="86" w:name="_Toc479230387"/>
      <w:bookmarkStart w:id="87" w:name="_Toc486243289"/>
      <w:bookmarkStart w:id="88" w:name="_Toc485373841"/>
      <w:r w:rsidRPr="00E80661">
        <w:rPr>
          <w:b/>
          <w:szCs w:val="22"/>
        </w:rPr>
        <w:t>EU Energy and climate policy</w:t>
      </w:r>
      <w:bookmarkEnd w:id="85"/>
      <w:bookmarkEnd w:id="86"/>
      <w:bookmarkEnd w:id="87"/>
      <w:bookmarkEnd w:id="88"/>
    </w:p>
    <w:p w14:paraId="7A21B64D" w14:textId="77777777" w:rsidR="00AB4E23" w:rsidRPr="00E80661" w:rsidRDefault="00AB4E23" w:rsidP="00AB4E23">
      <w:pPr>
        <w:outlineLvl w:val="1"/>
        <w:rPr>
          <w:b/>
          <w:szCs w:val="22"/>
        </w:rPr>
      </w:pPr>
    </w:p>
    <w:p w14:paraId="7A5BB369" w14:textId="751AEB89" w:rsidR="00AB4E23" w:rsidRPr="00E80661" w:rsidRDefault="00AB4E23" w:rsidP="00AB4E23">
      <w:pPr>
        <w:rPr>
          <w:szCs w:val="22"/>
        </w:rPr>
      </w:pPr>
      <w:r w:rsidRPr="00E80661">
        <w:t>The opinion on</w:t>
      </w:r>
      <w:r w:rsidR="003658ED" w:rsidRPr="00E80661">
        <w:t xml:space="preserve"> the</w:t>
      </w:r>
      <w:r w:rsidRPr="00E80661">
        <w:t xml:space="preserve"> </w:t>
      </w:r>
      <w:r w:rsidRPr="00E80661">
        <w:rPr>
          <w:b/>
        </w:rPr>
        <w:t>Energy Union package</w:t>
      </w:r>
      <w:r w:rsidR="005F7E00" w:rsidRPr="00644601">
        <w:rPr>
          <w:rStyle w:val="FootnoteReference"/>
          <w:b/>
        </w:rPr>
        <w:footnoteReference w:id="66"/>
      </w:r>
      <w:r w:rsidRPr="00E80661">
        <w:t>, thanks to fruitful contact between the CoR and EP rapporteurs, is reflected in numerous references to major local and regional issues</w:t>
      </w:r>
      <w:r w:rsidR="003658ED" w:rsidRPr="00E80661">
        <w:t xml:space="preserve"> in the EP report/resolution</w:t>
      </w:r>
      <w:r w:rsidRPr="00E80661">
        <w:t>.</w:t>
      </w:r>
    </w:p>
    <w:p w14:paraId="2AFEC4B2" w14:textId="77777777" w:rsidR="00AB4E23" w:rsidRPr="00E80661" w:rsidRDefault="00AB4E23" w:rsidP="00AB4E23"/>
    <w:p w14:paraId="0ACCBCC1" w14:textId="15E0BDA8" w:rsidR="00AB4E23" w:rsidRPr="00E80661" w:rsidRDefault="00AB4E23" w:rsidP="00AB4E23">
      <w:r w:rsidRPr="00E80661">
        <w:t xml:space="preserve">The EP </w:t>
      </w:r>
      <w:r w:rsidR="001A653C">
        <w:t>took</w:t>
      </w:r>
      <w:r w:rsidRPr="00E80661">
        <w:t xml:space="preserve"> on board the following key recommendations </w:t>
      </w:r>
      <w:r w:rsidR="003658ED" w:rsidRPr="00E80661">
        <w:t xml:space="preserve">made by </w:t>
      </w:r>
      <w:r w:rsidRPr="00E80661">
        <w:t>the CoR:</w:t>
      </w:r>
    </w:p>
    <w:p w14:paraId="6B71F4A7" w14:textId="77777777" w:rsidR="00AB4E23" w:rsidRPr="00E80661" w:rsidRDefault="00AB4E23" w:rsidP="00AB4E23">
      <w:pPr>
        <w:numPr>
          <w:ilvl w:val="0"/>
          <w:numId w:val="46"/>
        </w:numPr>
      </w:pPr>
      <w:r w:rsidRPr="00E80661">
        <w:t xml:space="preserve">Support for local authorities, communities, households and individuals to become energy producers and suppliers on an equal footing with other players in the energy market; </w:t>
      </w:r>
    </w:p>
    <w:p w14:paraId="0DC3A1E2" w14:textId="42264EA0" w:rsidR="00AB4E23" w:rsidRPr="00E80661" w:rsidRDefault="00AB4E23" w:rsidP="00AB4E23">
      <w:pPr>
        <w:numPr>
          <w:ilvl w:val="0"/>
          <w:numId w:val="46"/>
        </w:numPr>
      </w:pPr>
      <w:r w:rsidRPr="00E80661">
        <w:t xml:space="preserve">Call </w:t>
      </w:r>
      <w:r w:rsidR="00734542">
        <w:t>for</w:t>
      </w:r>
      <w:r w:rsidR="00734542" w:rsidRPr="00E80661">
        <w:t xml:space="preserve"> </w:t>
      </w:r>
      <w:r w:rsidRPr="00E80661">
        <w:t xml:space="preserve">the Commission and Member States </w:t>
      </w:r>
      <w:r w:rsidR="00F224C0" w:rsidRPr="00E80661">
        <w:t>"</w:t>
      </w:r>
      <w:r w:rsidRPr="00E80661">
        <w:t>to promote the self-production of energy and the implementation and interconnection of local renewable energy grids as a complement to their national energy policies</w:t>
      </w:r>
      <w:r w:rsidR="00F224C0" w:rsidRPr="00E80661">
        <w:t>"</w:t>
      </w:r>
      <w:r w:rsidRPr="00644601">
        <w:footnoteReference w:id="67"/>
      </w:r>
      <w:r w:rsidR="00F224C0" w:rsidRPr="00E80661">
        <w:t>;</w:t>
      </w:r>
    </w:p>
    <w:p w14:paraId="25260E48" w14:textId="52A31967" w:rsidR="00AB4E23" w:rsidRPr="00E80661" w:rsidRDefault="00AB4E23" w:rsidP="00AB4E23">
      <w:pPr>
        <w:numPr>
          <w:ilvl w:val="0"/>
          <w:numId w:val="46"/>
        </w:numPr>
      </w:pPr>
      <w:r w:rsidRPr="00E80661">
        <w:t xml:space="preserve">Need </w:t>
      </w:r>
      <w:r w:rsidR="00557289" w:rsidRPr="00E80661">
        <w:t xml:space="preserve">for the </w:t>
      </w:r>
      <w:r w:rsidRPr="00E80661">
        <w:t xml:space="preserve">Member States </w:t>
      </w:r>
      <w:r w:rsidR="00557289" w:rsidRPr="00E80661">
        <w:t xml:space="preserve">to establish </w:t>
      </w:r>
      <w:r w:rsidRPr="00E80661">
        <w:t>judicial and administrative mechanisms to spur the involvement of local communities in electricity generation by making them stakeholders in small-scale renewable electricity generation projects;</w:t>
      </w:r>
    </w:p>
    <w:p w14:paraId="3FFE95F5" w14:textId="561276FB" w:rsidR="00AB4E23" w:rsidRPr="00E80661" w:rsidRDefault="00AB4E23" w:rsidP="00AB4E23">
      <w:pPr>
        <w:numPr>
          <w:ilvl w:val="0"/>
          <w:numId w:val="46"/>
        </w:numPr>
      </w:pPr>
      <w:r w:rsidRPr="00E80661">
        <w:t>Greater consideration to distribution system operators</w:t>
      </w:r>
      <w:r w:rsidR="00557289" w:rsidRPr="00E80661">
        <w:t>'</w:t>
      </w:r>
      <w:r w:rsidRPr="00E80661">
        <w:t xml:space="preserve"> local and regional responsibility for the Energy Union, given that the energy landscape is becoming more and more decentralised;</w:t>
      </w:r>
    </w:p>
    <w:p w14:paraId="24CB9B84" w14:textId="3DD9C89D" w:rsidR="00AB4E23" w:rsidRPr="00E80661" w:rsidRDefault="00AB4E23" w:rsidP="00AB4E23">
      <w:pPr>
        <w:numPr>
          <w:ilvl w:val="0"/>
          <w:numId w:val="46"/>
        </w:numPr>
      </w:pPr>
      <w:r w:rsidRPr="00E80661">
        <w:t>The importance of all Member States implementing the requirements of the Third Energy Package with regard to the unbundling of transmission and distribution systems, especially in light of the increased role of DSOs in data access and management (</w:t>
      </w:r>
      <w:r w:rsidR="00557289" w:rsidRPr="00E80661">
        <w:t>"</w:t>
      </w:r>
      <w:r w:rsidRPr="00E80661">
        <w:t>DSOs, among other market participants, can also support local authorities by providing them with data to enable energy transition within their territory</w:t>
      </w:r>
      <w:r w:rsidR="00557289" w:rsidRPr="00E80661">
        <w:t>"</w:t>
      </w:r>
      <w:r w:rsidRPr="00644601">
        <w:footnoteReference w:id="68"/>
      </w:r>
      <w:r w:rsidRPr="00E80661">
        <w:t>);</w:t>
      </w:r>
    </w:p>
    <w:p w14:paraId="3219E3AE" w14:textId="393D8FAA" w:rsidR="00AB4E23" w:rsidRPr="00E80661" w:rsidRDefault="00AB4E23" w:rsidP="00AB4E23">
      <w:pPr>
        <w:numPr>
          <w:ilvl w:val="0"/>
          <w:numId w:val="46"/>
        </w:numPr>
      </w:pPr>
      <w:r w:rsidRPr="00E80661">
        <w:t xml:space="preserve">Call </w:t>
      </w:r>
      <w:r w:rsidR="00DB38D5">
        <w:t>for</w:t>
      </w:r>
      <w:r w:rsidRPr="00E80661">
        <w:t xml:space="preserve"> the Commission to step up support for the Covenant of Mayors, Smart Cities and Smart Communities and the 100% RES communities so as to expand and further develop them as a tool to promote self-generation and energy efficiency measures, fight energy poverty, and a tool for exchang</w:t>
      </w:r>
      <w:r w:rsidR="00557289" w:rsidRPr="00E80661">
        <w:t xml:space="preserve">ing </w:t>
      </w:r>
      <w:r w:rsidRPr="00E80661">
        <w:t>best practices and raising awareness of available financial support for local authorities;</w:t>
      </w:r>
      <w:r w:rsidRPr="00644601">
        <w:footnoteReference w:id="69"/>
      </w:r>
    </w:p>
    <w:p w14:paraId="2640640D" w14:textId="77777777" w:rsidR="00AB4E23" w:rsidRPr="00E80661" w:rsidRDefault="00AB4E23" w:rsidP="00AB4E23">
      <w:pPr>
        <w:rPr>
          <w:szCs w:val="22"/>
        </w:rPr>
      </w:pPr>
    </w:p>
    <w:p w14:paraId="0F4B1866" w14:textId="32BE8B97" w:rsidR="00AB4E23" w:rsidRPr="00E80661" w:rsidRDefault="00AB4E23" w:rsidP="00AB4E23">
      <w:r w:rsidRPr="00E80661">
        <w:rPr>
          <w:szCs w:val="22"/>
        </w:rPr>
        <w:t>The adoption of the opinion</w:t>
      </w:r>
      <w:r w:rsidR="002975AC" w:rsidRPr="00E80661">
        <w:rPr>
          <w:szCs w:val="22"/>
        </w:rPr>
        <w:t xml:space="preserve"> on</w:t>
      </w:r>
      <w:r w:rsidRPr="00E80661">
        <w:rPr>
          <w:szCs w:val="22"/>
        </w:rPr>
        <w:t xml:space="preserve"> </w:t>
      </w:r>
      <w:r w:rsidRPr="00E80661">
        <w:rPr>
          <w:b/>
        </w:rPr>
        <w:t>An EU Strategy on Heating and Cooling</w:t>
      </w:r>
      <w:r w:rsidR="005F7E00" w:rsidRPr="00644601">
        <w:rPr>
          <w:rStyle w:val="FootnoteReference"/>
          <w:b/>
        </w:rPr>
        <w:footnoteReference w:id="70"/>
      </w:r>
      <w:r w:rsidRPr="00E80661">
        <w:rPr>
          <w:b/>
        </w:rPr>
        <w:t xml:space="preserve"> </w:t>
      </w:r>
      <w:r w:rsidRPr="00E80661">
        <w:t>was accompanied by</w:t>
      </w:r>
      <w:r w:rsidRPr="00E80661">
        <w:rPr>
          <w:b/>
        </w:rPr>
        <w:t xml:space="preserve"> </w:t>
      </w:r>
      <w:r w:rsidRPr="00E80661">
        <w:t xml:space="preserve">numerous bilateral </w:t>
      </w:r>
      <w:r w:rsidR="00D55E0E" w:rsidRPr="00E80661">
        <w:t xml:space="preserve">exchanges </w:t>
      </w:r>
      <w:r w:rsidRPr="00E80661">
        <w:t xml:space="preserve">with rapporteurs </w:t>
      </w:r>
      <w:r w:rsidR="00D55E0E" w:rsidRPr="00E80661">
        <w:t xml:space="preserve">from </w:t>
      </w:r>
      <w:r w:rsidRPr="00E80661">
        <w:t>the EP</w:t>
      </w:r>
      <w:r w:rsidR="00D55E0E" w:rsidRPr="00E80661">
        <w:t>'s</w:t>
      </w:r>
      <w:r w:rsidRPr="00E80661">
        <w:t xml:space="preserve"> ITRE and ENVI </w:t>
      </w:r>
      <w:r w:rsidR="00F07BB7">
        <w:t>C</w:t>
      </w:r>
      <w:r w:rsidR="00F07BB7" w:rsidRPr="00E80661">
        <w:t>ommittees</w:t>
      </w:r>
      <w:r w:rsidR="00D55E0E" w:rsidRPr="00E80661">
        <w:t>.</w:t>
      </w:r>
      <w:r w:rsidRPr="00E80661">
        <w:t xml:space="preserve"> </w:t>
      </w:r>
    </w:p>
    <w:p w14:paraId="4EF3B415" w14:textId="77777777" w:rsidR="00AB4E23" w:rsidRPr="00E80661" w:rsidRDefault="00AB4E23" w:rsidP="00AB4E23"/>
    <w:p w14:paraId="765057DA" w14:textId="77777777" w:rsidR="00AB4E23" w:rsidRPr="00E80661" w:rsidRDefault="00AB4E23" w:rsidP="00AB4E23">
      <w:r w:rsidRPr="00E80661">
        <w:t>The EP in its Resolution</w:t>
      </w:r>
      <w:r w:rsidRPr="00644601">
        <w:footnoteReference w:id="71"/>
      </w:r>
      <w:r w:rsidRPr="00E80661">
        <w:t xml:space="preserve"> took on board a number of key CoR recommendations, such as:</w:t>
      </w:r>
    </w:p>
    <w:p w14:paraId="03473851" w14:textId="721C4D75" w:rsidR="00AB4E23" w:rsidRPr="00E80661" w:rsidRDefault="00D55E0E" w:rsidP="00AB4E23">
      <w:pPr>
        <w:numPr>
          <w:ilvl w:val="0"/>
          <w:numId w:val="45"/>
        </w:numPr>
      </w:pPr>
      <w:r w:rsidRPr="00E80661">
        <w:t>An a</w:t>
      </w:r>
      <w:r w:rsidR="00AB4E23" w:rsidRPr="00E80661">
        <w:t>cknowledgement of the local and regional dimension in setting the right policies for heating and cooling, in planning and implementing infrastructure and consumer consultation, in order to remove obstacles and make heating and cooling more efficient and sustainable;</w:t>
      </w:r>
    </w:p>
    <w:p w14:paraId="5E48211D" w14:textId="6BB4E331" w:rsidR="00AB4E23" w:rsidRPr="00E80661" w:rsidRDefault="00AB4E23" w:rsidP="00AB4E23">
      <w:pPr>
        <w:numPr>
          <w:ilvl w:val="0"/>
          <w:numId w:val="45"/>
        </w:numPr>
      </w:pPr>
      <w:r w:rsidRPr="00E80661">
        <w:t xml:space="preserve">The need  </w:t>
      </w:r>
      <w:r w:rsidR="00D55E0E" w:rsidRPr="00E80661">
        <w:t>"</w:t>
      </w:r>
      <w:r w:rsidRPr="00E80661">
        <w:t>to empower and support local and regional authorities to apply a fully integrated systems-based approach to urban planning, infrastructure development, building and renovation of housing stock, and new industrial development, in order to maximise potential cross-overs, efficiencies and other mutual benefits</w:t>
      </w:r>
      <w:r w:rsidR="00D55E0E" w:rsidRPr="00E80661">
        <w:t>"</w:t>
      </w:r>
      <w:r w:rsidRPr="00E80661">
        <w:t>;</w:t>
      </w:r>
    </w:p>
    <w:p w14:paraId="102B3D64" w14:textId="566DED1D" w:rsidR="00AB4E23" w:rsidRPr="00E80661" w:rsidRDefault="00AB4E23" w:rsidP="00AB4E23">
      <w:pPr>
        <w:numPr>
          <w:ilvl w:val="0"/>
          <w:numId w:val="45"/>
        </w:numPr>
      </w:pPr>
      <w:r w:rsidRPr="00E80661">
        <w:t>The need to map</w:t>
      </w:r>
      <w:r w:rsidR="00D55E0E" w:rsidRPr="00E80661">
        <w:t xml:space="preserve"> the potential for l</w:t>
      </w:r>
      <w:r w:rsidRPr="00E80661">
        <w:t>ocal heating and cooling throughout Europe;</w:t>
      </w:r>
    </w:p>
    <w:p w14:paraId="61EA01C4" w14:textId="522E58B6" w:rsidR="00A8317D" w:rsidRPr="00E80661" w:rsidRDefault="00AB4E23" w:rsidP="00A8317D">
      <w:pPr>
        <w:numPr>
          <w:ilvl w:val="0"/>
          <w:numId w:val="45"/>
        </w:numPr>
      </w:pPr>
      <w:r w:rsidRPr="00E80661">
        <w:t>Gradual replacing of the use of inefficient and unsustainable heating/cooling systems in urban agglomerations with efficient district systems modernised with state-of-the-art heating/cooling technologies, shift to high-efficiency local cogeneration systems and renewable alternatives;</w:t>
      </w:r>
    </w:p>
    <w:p w14:paraId="14E66B3C" w14:textId="39D91F5B" w:rsidR="00A8317D" w:rsidRPr="00E80661" w:rsidRDefault="00A8317D" w:rsidP="00BD7323">
      <w:pPr>
        <w:rPr>
          <w:szCs w:val="22"/>
        </w:rPr>
      </w:pPr>
    </w:p>
    <w:tbl>
      <w:tblPr>
        <w:tblStyle w:val="TableGrid"/>
        <w:tblW w:w="0" w:type="auto"/>
        <w:shd w:val="clear" w:color="auto" w:fill="BFBFBF" w:themeFill="background1" w:themeFillShade="BF"/>
        <w:tblLook w:val="04A0" w:firstRow="1" w:lastRow="0" w:firstColumn="1" w:lastColumn="0" w:noHBand="0" w:noVBand="1"/>
      </w:tblPr>
      <w:tblGrid>
        <w:gridCol w:w="9242"/>
      </w:tblGrid>
      <w:tr w:rsidR="00BD7323" w:rsidRPr="00E80661" w14:paraId="7F6B4278" w14:textId="77777777" w:rsidTr="00BD7323">
        <w:tc>
          <w:tcPr>
            <w:tcW w:w="9242" w:type="dxa"/>
            <w:shd w:val="clear" w:color="auto" w:fill="BFBFBF" w:themeFill="background1" w:themeFillShade="BF"/>
          </w:tcPr>
          <w:p w14:paraId="23908700" w14:textId="07277892" w:rsidR="00BD7323" w:rsidRPr="00E80661" w:rsidRDefault="00BD7323" w:rsidP="00BD7323">
            <w:pPr>
              <w:rPr>
                <w:szCs w:val="22"/>
              </w:rPr>
            </w:pPr>
            <w:r w:rsidRPr="00E80661">
              <w:rPr>
                <w:szCs w:val="22"/>
              </w:rPr>
              <w:t>The opinion</w:t>
            </w:r>
            <w:r w:rsidR="008D7688" w:rsidRPr="00E80661">
              <w:rPr>
                <w:szCs w:val="22"/>
              </w:rPr>
              <w:t xml:space="preserve"> on</w:t>
            </w:r>
            <w:r w:rsidRPr="00E80661">
              <w:rPr>
                <w:szCs w:val="22"/>
              </w:rPr>
              <w:t xml:space="preserve"> </w:t>
            </w:r>
            <w:r w:rsidRPr="00E80661">
              <w:rPr>
                <w:b/>
                <w:szCs w:val="22"/>
              </w:rPr>
              <w:t>Cost-effective emission reductions and low-carbon investments</w:t>
            </w:r>
            <w:r w:rsidR="00AB4E23" w:rsidRPr="00644601">
              <w:rPr>
                <w:rStyle w:val="FootnoteReference"/>
                <w:b/>
              </w:rPr>
              <w:footnoteReference w:id="72"/>
            </w:r>
            <w:r w:rsidRPr="00E80661">
              <w:rPr>
                <w:szCs w:val="22"/>
              </w:rPr>
              <w:t xml:space="preserve"> has not yet shown its full impact as the legislative process has not yet </w:t>
            </w:r>
            <w:r w:rsidR="008D7688" w:rsidRPr="00E80661">
              <w:rPr>
                <w:szCs w:val="22"/>
              </w:rPr>
              <w:t xml:space="preserve">been </w:t>
            </w:r>
            <w:r w:rsidRPr="00E80661">
              <w:rPr>
                <w:szCs w:val="22"/>
              </w:rPr>
              <w:t>finali</w:t>
            </w:r>
            <w:r w:rsidR="008D7688" w:rsidRPr="00E80661">
              <w:rPr>
                <w:szCs w:val="22"/>
              </w:rPr>
              <w:t>s</w:t>
            </w:r>
            <w:r w:rsidRPr="00E80661">
              <w:rPr>
                <w:szCs w:val="22"/>
              </w:rPr>
              <w:t xml:space="preserve">ed.  The European Parliament agreed its position on 15 February 2017. </w:t>
            </w:r>
            <w:r w:rsidR="008D7688" w:rsidRPr="00E80661">
              <w:rPr>
                <w:szCs w:val="22"/>
              </w:rPr>
              <w:t>On 28 February 2017, t</w:t>
            </w:r>
            <w:r w:rsidRPr="00E80661">
              <w:rPr>
                <w:szCs w:val="22"/>
              </w:rPr>
              <w:t>he Environment Council</w:t>
            </w:r>
            <w:r w:rsidR="008D7688" w:rsidRPr="00E80661">
              <w:rPr>
                <w:bCs/>
                <w:szCs w:val="22"/>
              </w:rPr>
              <w:t xml:space="preserve"> </w:t>
            </w:r>
            <w:r w:rsidRPr="00E80661">
              <w:rPr>
                <w:bCs/>
                <w:szCs w:val="22"/>
              </w:rPr>
              <w:t>agreed its negotiating position</w:t>
            </w:r>
            <w:r w:rsidRPr="00E80661">
              <w:rPr>
                <w:szCs w:val="22"/>
              </w:rPr>
              <w:t xml:space="preserve"> (general approach). The file is now under discussion in the framework of the ordinary legislative procedure (trilogue). Both the EC and </w:t>
            </w:r>
            <w:r w:rsidR="008D7688" w:rsidRPr="00E80661">
              <w:rPr>
                <w:szCs w:val="22"/>
              </w:rPr>
              <w:t xml:space="preserve">the </w:t>
            </w:r>
            <w:r w:rsidRPr="00E80661">
              <w:rPr>
                <w:szCs w:val="22"/>
              </w:rPr>
              <w:t>EP considered the following CoR recommendations:</w:t>
            </w:r>
          </w:p>
          <w:p w14:paraId="7A97E164" w14:textId="591EEE23" w:rsidR="00BD7323" w:rsidRPr="00E80661" w:rsidRDefault="008D7688" w:rsidP="00644601">
            <w:pPr>
              <w:numPr>
                <w:ilvl w:val="0"/>
                <w:numId w:val="39"/>
              </w:numPr>
              <w:spacing w:before="120"/>
              <w:ind w:left="714" w:hanging="357"/>
              <w:rPr>
                <w:szCs w:val="22"/>
              </w:rPr>
            </w:pPr>
            <w:r w:rsidRPr="00E80661">
              <w:rPr>
                <w:szCs w:val="22"/>
              </w:rPr>
              <w:t xml:space="preserve">to </w:t>
            </w:r>
            <w:r w:rsidR="00BD7323" w:rsidRPr="00E80661">
              <w:rPr>
                <w:szCs w:val="22"/>
              </w:rPr>
              <w:t>acknowledge the expertise of local and regional authorities thanks to their frontline role in combating climate change;</w:t>
            </w:r>
          </w:p>
          <w:p w14:paraId="2FAEA3BA" w14:textId="37C93308" w:rsidR="00BD7323" w:rsidRPr="00E80661" w:rsidRDefault="008D7688" w:rsidP="00644601">
            <w:pPr>
              <w:numPr>
                <w:ilvl w:val="0"/>
                <w:numId w:val="39"/>
              </w:numPr>
              <w:rPr>
                <w:szCs w:val="22"/>
              </w:rPr>
            </w:pPr>
            <w:r w:rsidRPr="00E80661">
              <w:rPr>
                <w:szCs w:val="22"/>
              </w:rPr>
              <w:t xml:space="preserve">to place </w:t>
            </w:r>
            <w:r w:rsidR="00BD7323" w:rsidRPr="00E80661">
              <w:rPr>
                <w:szCs w:val="22"/>
              </w:rPr>
              <w:t>greater emphasis on all initiative</w:t>
            </w:r>
            <w:r w:rsidRPr="00E80661">
              <w:rPr>
                <w:szCs w:val="22"/>
              </w:rPr>
              <w:t>s</w:t>
            </w:r>
            <w:r w:rsidR="00BD7323" w:rsidRPr="00E80661">
              <w:rPr>
                <w:szCs w:val="22"/>
              </w:rPr>
              <w:t xml:space="preserve"> including those at local and regional level, which can contribute to achieving the outlined targets;</w:t>
            </w:r>
          </w:p>
          <w:p w14:paraId="59CBEDB6" w14:textId="0C0C4095" w:rsidR="00BD7323" w:rsidRPr="00E80661" w:rsidRDefault="008D7688" w:rsidP="00644601">
            <w:pPr>
              <w:numPr>
                <w:ilvl w:val="0"/>
                <w:numId w:val="39"/>
              </w:numPr>
              <w:rPr>
                <w:szCs w:val="22"/>
              </w:rPr>
            </w:pPr>
            <w:r w:rsidRPr="00E80661">
              <w:rPr>
                <w:szCs w:val="22"/>
              </w:rPr>
              <w:t xml:space="preserve">to </w:t>
            </w:r>
            <w:r w:rsidR="00BD7323" w:rsidRPr="00E80661">
              <w:rPr>
                <w:szCs w:val="22"/>
              </w:rPr>
              <w:t xml:space="preserve">acknowledge </w:t>
            </w:r>
            <w:r w:rsidRPr="00E80661">
              <w:rPr>
                <w:szCs w:val="22"/>
              </w:rPr>
              <w:t xml:space="preserve">that </w:t>
            </w:r>
            <w:r w:rsidR="00BD7323" w:rsidRPr="00E80661">
              <w:rPr>
                <w:szCs w:val="22"/>
              </w:rPr>
              <w:t>low-carbon transition should be mainstreamed through all sectors and level of governance.</w:t>
            </w:r>
          </w:p>
        </w:tc>
      </w:tr>
    </w:tbl>
    <w:p w14:paraId="50E1F040" w14:textId="77777777" w:rsidR="00BD7323" w:rsidRPr="00E80661" w:rsidRDefault="00BD7323" w:rsidP="00BD7323">
      <w:pPr>
        <w:outlineLvl w:val="1"/>
        <w:rPr>
          <w:b/>
          <w:szCs w:val="22"/>
        </w:rPr>
      </w:pPr>
    </w:p>
    <w:p w14:paraId="5EE483F7" w14:textId="0279CDA9" w:rsidR="00A8317D" w:rsidRPr="00E80661" w:rsidRDefault="00A8317D" w:rsidP="00A8317D">
      <w:pPr>
        <w:spacing w:before="120"/>
        <w:rPr>
          <w:szCs w:val="22"/>
        </w:rPr>
      </w:pPr>
    </w:p>
    <w:p w14:paraId="55F9392B" w14:textId="21E53898" w:rsidR="00A8317D" w:rsidRPr="00E80661" w:rsidRDefault="00E80661" w:rsidP="00A8317D">
      <w:pPr>
        <w:rPr>
          <w:szCs w:val="22"/>
        </w:rPr>
      </w:pPr>
      <w:r w:rsidRPr="00E80661">
        <w:rPr>
          <w:szCs w:val="22"/>
        </w:rPr>
        <w:t xml:space="preserve">The opinion on </w:t>
      </w:r>
      <w:r w:rsidRPr="00E80661">
        <w:rPr>
          <w:b/>
          <w:szCs w:val="22"/>
        </w:rPr>
        <w:t>Delivering the global climate agreement – a territorial approach to COP22 in Marrakech</w:t>
      </w:r>
      <w:r w:rsidRPr="00644601">
        <w:rPr>
          <w:b/>
        </w:rPr>
        <w:footnoteReference w:id="73"/>
      </w:r>
      <w:r w:rsidRPr="00E80661">
        <w:rPr>
          <w:szCs w:val="22"/>
        </w:rPr>
        <w:t xml:space="preserve"> contributed to the preparation of the European Commission's Communication on The Road from Paris, which clearly stated its commitment to multi-level governance at EU and international level, as well as a new focus on cities in order to implement climate action on the ground.</w:t>
      </w:r>
    </w:p>
    <w:p w14:paraId="551301A8" w14:textId="77777777" w:rsidR="00A8317D" w:rsidRPr="00E80661" w:rsidRDefault="00A8317D" w:rsidP="00A8317D">
      <w:pPr>
        <w:rPr>
          <w:szCs w:val="22"/>
        </w:rPr>
      </w:pPr>
    </w:p>
    <w:p w14:paraId="55337E78" w14:textId="5F6E4F2C" w:rsidR="00A8317D" w:rsidRPr="00E80661" w:rsidRDefault="00A8317D" w:rsidP="00A8317D">
      <w:pPr>
        <w:rPr>
          <w:szCs w:val="22"/>
        </w:rPr>
      </w:pPr>
      <w:r w:rsidRPr="00E80661">
        <w:rPr>
          <w:szCs w:val="22"/>
        </w:rPr>
        <w:t xml:space="preserve">The EP </w:t>
      </w:r>
      <w:r w:rsidR="008D7688" w:rsidRPr="00E80661">
        <w:rPr>
          <w:szCs w:val="22"/>
        </w:rPr>
        <w:t>R</w:t>
      </w:r>
      <w:r w:rsidRPr="00E80661">
        <w:rPr>
          <w:szCs w:val="22"/>
        </w:rPr>
        <w:t>esolution</w:t>
      </w:r>
      <w:r w:rsidRPr="00E80661">
        <w:rPr>
          <w:bCs/>
          <w:szCs w:val="22"/>
        </w:rPr>
        <w:t xml:space="preserve"> on the </w:t>
      </w:r>
      <w:r w:rsidR="008D7688" w:rsidRPr="00E80661">
        <w:rPr>
          <w:bCs/>
          <w:szCs w:val="22"/>
        </w:rPr>
        <w:t>i</w:t>
      </w:r>
      <w:r w:rsidRPr="00E80661">
        <w:rPr>
          <w:bCs/>
          <w:szCs w:val="22"/>
        </w:rPr>
        <w:t>mplementation of the Paris Agreement</w:t>
      </w:r>
      <w:r w:rsidRPr="00644601">
        <w:footnoteReference w:id="74"/>
      </w:r>
      <w:r w:rsidRPr="00E80661">
        <w:rPr>
          <w:szCs w:val="22"/>
        </w:rPr>
        <w:t xml:space="preserve"> includes a number of points that were suggested in the CoR opinion. Salient aspects include:</w:t>
      </w:r>
    </w:p>
    <w:p w14:paraId="3387A5C6" w14:textId="25E0384F" w:rsidR="00A8317D" w:rsidRPr="00E80661" w:rsidRDefault="00A8317D" w:rsidP="00644601">
      <w:pPr>
        <w:pStyle w:val="ListParagraph"/>
        <w:numPr>
          <w:ilvl w:val="0"/>
          <w:numId w:val="61"/>
        </w:numPr>
        <w:ind w:left="284"/>
        <w:rPr>
          <w:szCs w:val="22"/>
        </w:rPr>
      </w:pPr>
      <w:r w:rsidRPr="00E80661">
        <w:rPr>
          <w:szCs w:val="22"/>
        </w:rPr>
        <w:t xml:space="preserve">a reference to the role of local and regional authorities as crucial partners in implementing the Paris Agreement and </w:t>
      </w:r>
      <w:r w:rsidR="00124E19">
        <w:rPr>
          <w:szCs w:val="22"/>
        </w:rPr>
        <w:t xml:space="preserve">in </w:t>
      </w:r>
      <w:r w:rsidRPr="00E80661">
        <w:rPr>
          <w:szCs w:val="22"/>
        </w:rPr>
        <w:t xml:space="preserve">contributing to the achievement of </w:t>
      </w:r>
      <w:r w:rsidRPr="00E80661">
        <w:t>mid- and long-term climate policy goals;</w:t>
      </w:r>
    </w:p>
    <w:p w14:paraId="75EF7125" w14:textId="25F1C91E" w:rsidR="00A8317D" w:rsidRPr="00E80661" w:rsidRDefault="00A8317D" w:rsidP="00644601">
      <w:pPr>
        <w:pStyle w:val="ListParagraph"/>
        <w:numPr>
          <w:ilvl w:val="0"/>
          <w:numId w:val="61"/>
        </w:numPr>
        <w:ind w:left="284"/>
        <w:rPr>
          <w:szCs w:val="22"/>
        </w:rPr>
      </w:pPr>
      <w:r w:rsidRPr="00E80661">
        <w:rPr>
          <w:szCs w:val="22"/>
        </w:rPr>
        <w:t>the recognition of local and regional authorities as the biggest contributors to the Lima-Paris Action Agenda and NAZCA that have already shown their commitment to deliver</w:t>
      </w:r>
      <w:r w:rsidR="008A68E6" w:rsidRPr="00E80661">
        <w:rPr>
          <w:szCs w:val="22"/>
        </w:rPr>
        <w:t>ing</w:t>
      </w:r>
      <w:r w:rsidRPr="00E80661">
        <w:rPr>
          <w:szCs w:val="22"/>
        </w:rPr>
        <w:t xml:space="preserve"> on the implementation of the Paris Agreement with regard to both mitigation and adaptation, ensuring horizontal coordination and mainstreaming of climate change policy, empowering local communities and citizens, and promoting processes of societal change and innovation, especially through initiatives such as the Global Covenant of Mayors and the Under 2 Memorandum of Understanding;</w:t>
      </w:r>
    </w:p>
    <w:p w14:paraId="7DD49EEF" w14:textId="47BD4071" w:rsidR="00A8317D" w:rsidRPr="00E80661" w:rsidRDefault="00A8317D" w:rsidP="00644601">
      <w:pPr>
        <w:pStyle w:val="ListParagraph"/>
        <w:numPr>
          <w:ilvl w:val="0"/>
          <w:numId w:val="61"/>
        </w:numPr>
        <w:ind w:left="284"/>
        <w:rPr>
          <w:szCs w:val="22"/>
        </w:rPr>
      </w:pPr>
      <w:r w:rsidRPr="00E80661">
        <w:rPr>
          <w:szCs w:val="22"/>
        </w:rPr>
        <w:t>a reference to multi-level and multistakeholder governance as one of the key areas for progress at the COP22 in Marrakech.</w:t>
      </w:r>
    </w:p>
    <w:p w14:paraId="60E238D3" w14:textId="77777777" w:rsidR="00A8317D" w:rsidRPr="00E80661" w:rsidRDefault="00A8317D" w:rsidP="00A8317D">
      <w:pPr>
        <w:rPr>
          <w:szCs w:val="22"/>
        </w:rPr>
      </w:pPr>
    </w:p>
    <w:p w14:paraId="61AAD62F" w14:textId="43543903" w:rsidR="00A8317D" w:rsidRPr="00E80661" w:rsidRDefault="00A8317D" w:rsidP="00A8317D">
      <w:pPr>
        <w:rPr>
          <w:color w:val="FF0000"/>
          <w:sz w:val="24"/>
          <w:szCs w:val="24"/>
        </w:rPr>
      </w:pPr>
      <w:r w:rsidRPr="00E80661">
        <w:t xml:space="preserve">The CoR, thanks to its active participation in the COP22 in Marrakech, asserted its role as one of </w:t>
      </w:r>
      <w:r w:rsidR="00E80661" w:rsidRPr="00E80661">
        <w:t>indispensable</w:t>
      </w:r>
      <w:r w:rsidRPr="00E80661">
        <w:t xml:space="preserve"> territorial actors in the COPs, capable of engaging with stakeholders, including relevant delegations. The COP22 was used as another opportunity to reaffirm the role of local and regional governments as </w:t>
      </w:r>
      <w:r w:rsidR="007D59DC" w:rsidRPr="00E80661">
        <w:t xml:space="preserve">a </w:t>
      </w:r>
      <w:r w:rsidRPr="00E80661">
        <w:t>partner of national governments</w:t>
      </w:r>
      <w:r w:rsidR="007D59DC" w:rsidRPr="00E80661">
        <w:t>,</w:t>
      </w:r>
      <w:r w:rsidRPr="00E80661">
        <w:t xml:space="preserve"> in order to support the National Determined Contributions (NDCs) design and implementation. </w:t>
      </w:r>
    </w:p>
    <w:p w14:paraId="71E7B99D" w14:textId="77777777" w:rsidR="00A8317D" w:rsidRPr="00E80661" w:rsidRDefault="00A8317D" w:rsidP="00A8317D">
      <w:pPr>
        <w:rPr>
          <w:szCs w:val="22"/>
        </w:rPr>
      </w:pPr>
    </w:p>
    <w:p w14:paraId="61C8B57E" w14:textId="4E6C8B07" w:rsidR="00A8317D" w:rsidRPr="00E80661" w:rsidRDefault="00A8317D" w:rsidP="00A8317D">
      <w:pPr>
        <w:spacing w:before="120"/>
        <w:rPr>
          <w:color w:val="000000"/>
          <w:szCs w:val="22"/>
        </w:rPr>
      </w:pPr>
      <w:r w:rsidRPr="00E80661">
        <w:rPr>
          <w:color w:val="000000"/>
          <w:szCs w:val="22"/>
        </w:rPr>
        <w:t xml:space="preserve">The CoR opinion </w:t>
      </w:r>
      <w:r w:rsidR="007D59DC" w:rsidRPr="00E80661">
        <w:t>on</w:t>
      </w:r>
      <w:r w:rsidR="007D59DC" w:rsidRPr="00E80661">
        <w:rPr>
          <w:b/>
          <w:bCs/>
          <w:color w:val="000000"/>
          <w:szCs w:val="22"/>
        </w:rPr>
        <w:t xml:space="preserve"> </w:t>
      </w:r>
      <w:r w:rsidRPr="00E80661">
        <w:rPr>
          <w:b/>
          <w:bCs/>
          <w:color w:val="000000"/>
          <w:szCs w:val="22"/>
        </w:rPr>
        <w:t>The future of the Covenant of Mayors</w:t>
      </w:r>
      <w:r w:rsidRPr="00644601">
        <w:rPr>
          <w:b/>
          <w:color w:val="000000"/>
        </w:rPr>
        <w:footnoteReference w:id="75"/>
      </w:r>
      <w:r w:rsidRPr="00E80661">
        <w:rPr>
          <w:b/>
          <w:bCs/>
          <w:color w:val="000000"/>
          <w:szCs w:val="22"/>
        </w:rPr>
        <w:t xml:space="preserve"> </w:t>
      </w:r>
      <w:r w:rsidRPr="00E80661">
        <w:rPr>
          <w:bCs/>
          <w:color w:val="000000"/>
          <w:szCs w:val="22"/>
        </w:rPr>
        <w:t>had a major impact on the interinstitutional debate</w:t>
      </w:r>
      <w:r w:rsidRPr="00E80661">
        <w:rPr>
          <w:color w:val="000000"/>
          <w:szCs w:val="22"/>
        </w:rPr>
        <w:t>:</w:t>
      </w:r>
    </w:p>
    <w:p w14:paraId="6BE78D8B" w14:textId="5BFA434F" w:rsidR="00A8317D" w:rsidRPr="00E80661" w:rsidRDefault="00A8317D" w:rsidP="00A8317D">
      <w:pPr>
        <w:numPr>
          <w:ilvl w:val="0"/>
          <w:numId w:val="34"/>
        </w:numPr>
        <w:overflowPunct/>
        <w:autoSpaceDE/>
        <w:autoSpaceDN/>
        <w:adjustRightInd/>
        <w:ind w:left="426" w:hanging="426"/>
        <w:jc w:val="left"/>
        <w:textAlignment w:val="auto"/>
        <w:rPr>
          <w:color w:val="000000"/>
          <w:szCs w:val="22"/>
        </w:rPr>
      </w:pPr>
      <w:r w:rsidRPr="00E80661">
        <w:rPr>
          <w:color w:val="000000"/>
          <w:szCs w:val="22"/>
        </w:rPr>
        <w:t xml:space="preserve">merging the </w:t>
      </w:r>
      <w:r w:rsidR="00E80661" w:rsidRPr="00E80661">
        <w:rPr>
          <w:color w:val="000000"/>
          <w:szCs w:val="22"/>
        </w:rPr>
        <w:t>Covenant</w:t>
      </w:r>
      <w:r w:rsidRPr="00E80661">
        <w:rPr>
          <w:color w:val="000000"/>
          <w:szCs w:val="22"/>
        </w:rPr>
        <w:t xml:space="preserve"> of Mayors and the Compact of Mayors, creating </w:t>
      </w:r>
      <w:r w:rsidR="007D59DC" w:rsidRPr="00E80661">
        <w:rPr>
          <w:color w:val="000000"/>
          <w:szCs w:val="22"/>
        </w:rPr>
        <w:t xml:space="preserve">the </w:t>
      </w:r>
      <w:r w:rsidR="0000610D" w:rsidRPr="00E80661">
        <w:rPr>
          <w:color w:val="000000"/>
          <w:szCs w:val="22"/>
        </w:rPr>
        <w:t>world's</w:t>
      </w:r>
      <w:r w:rsidRPr="00E80661">
        <w:rPr>
          <w:color w:val="000000"/>
          <w:szCs w:val="22"/>
        </w:rPr>
        <w:t xml:space="preserve"> </w:t>
      </w:r>
      <w:r w:rsidR="00E80661" w:rsidRPr="00E80661">
        <w:rPr>
          <w:color w:val="000000"/>
          <w:szCs w:val="22"/>
        </w:rPr>
        <w:t>largest</w:t>
      </w:r>
      <w:r w:rsidRPr="00E80661">
        <w:rPr>
          <w:color w:val="000000"/>
          <w:szCs w:val="22"/>
        </w:rPr>
        <w:t xml:space="preserve"> coalition of cities engaged in climat</w:t>
      </w:r>
      <w:r w:rsidR="007D59DC" w:rsidRPr="00E80661">
        <w:rPr>
          <w:color w:val="000000"/>
          <w:szCs w:val="22"/>
        </w:rPr>
        <w:t>e</w:t>
      </w:r>
      <w:r w:rsidRPr="00E80661">
        <w:rPr>
          <w:color w:val="000000"/>
          <w:szCs w:val="22"/>
        </w:rPr>
        <w:t xml:space="preserve"> action – Global Covenant of Mayors;</w:t>
      </w:r>
    </w:p>
    <w:p w14:paraId="2D2E077B" w14:textId="77777777" w:rsidR="00A8317D" w:rsidRPr="00E80661" w:rsidRDefault="00A8317D" w:rsidP="00A8317D">
      <w:pPr>
        <w:numPr>
          <w:ilvl w:val="0"/>
          <w:numId w:val="34"/>
        </w:numPr>
        <w:overflowPunct/>
        <w:autoSpaceDE/>
        <w:autoSpaceDN/>
        <w:adjustRightInd/>
        <w:ind w:left="426" w:hanging="426"/>
        <w:jc w:val="left"/>
        <w:textAlignment w:val="auto"/>
        <w:rPr>
          <w:color w:val="000000"/>
          <w:szCs w:val="22"/>
        </w:rPr>
      </w:pPr>
      <w:r w:rsidRPr="00E80661">
        <w:rPr>
          <w:color w:val="000000"/>
          <w:szCs w:val="22"/>
        </w:rPr>
        <w:t>the CoR has a seat in its Founders' Council – advisory body of the General Secretariat;</w:t>
      </w:r>
    </w:p>
    <w:p w14:paraId="59E1C86F" w14:textId="77777777" w:rsidR="00A8317D" w:rsidRPr="00E80661" w:rsidRDefault="00A8317D" w:rsidP="00A8317D">
      <w:pPr>
        <w:numPr>
          <w:ilvl w:val="0"/>
          <w:numId w:val="34"/>
        </w:numPr>
        <w:overflowPunct/>
        <w:autoSpaceDE/>
        <w:autoSpaceDN/>
        <w:adjustRightInd/>
        <w:ind w:left="426" w:hanging="426"/>
        <w:jc w:val="left"/>
        <w:textAlignment w:val="auto"/>
        <w:rPr>
          <w:color w:val="000000"/>
          <w:szCs w:val="22"/>
        </w:rPr>
      </w:pPr>
      <w:r w:rsidRPr="00E80661">
        <w:rPr>
          <w:color w:val="000000"/>
          <w:szCs w:val="22"/>
        </w:rPr>
        <w:t>the CoR has observer status in the ISG meetings setting the agenda for the Covenant of Mayors;</w:t>
      </w:r>
    </w:p>
    <w:p w14:paraId="45D3207E" w14:textId="648A13F3" w:rsidR="00A8317D" w:rsidRPr="00E80661" w:rsidRDefault="00A8317D" w:rsidP="00A8317D">
      <w:pPr>
        <w:numPr>
          <w:ilvl w:val="0"/>
          <w:numId w:val="34"/>
        </w:numPr>
        <w:overflowPunct/>
        <w:autoSpaceDE/>
        <w:autoSpaceDN/>
        <w:adjustRightInd/>
        <w:ind w:left="426" w:hanging="426"/>
        <w:jc w:val="left"/>
        <w:textAlignment w:val="auto"/>
        <w:rPr>
          <w:color w:val="000000"/>
          <w:szCs w:val="22"/>
        </w:rPr>
      </w:pPr>
      <w:r w:rsidRPr="00E80661">
        <w:rPr>
          <w:color w:val="000000"/>
          <w:szCs w:val="22"/>
        </w:rPr>
        <w:t>the merger of the Covenant of Mayors and the Mayors Adapt initiatives by the EC</w:t>
      </w:r>
      <w:r w:rsidR="007D59DC" w:rsidRPr="00E80661">
        <w:rPr>
          <w:color w:val="000000"/>
          <w:szCs w:val="22"/>
        </w:rPr>
        <w:t>.</w:t>
      </w:r>
    </w:p>
    <w:p w14:paraId="06CAAE6E" w14:textId="7D63042A" w:rsidR="000B6871" w:rsidRPr="00E80661" w:rsidRDefault="000B6871">
      <w:pPr>
        <w:overflowPunct/>
        <w:autoSpaceDE/>
        <w:autoSpaceDN/>
        <w:adjustRightInd/>
        <w:spacing w:line="240" w:lineRule="auto"/>
        <w:jc w:val="left"/>
        <w:textAlignment w:val="auto"/>
        <w:rPr>
          <w:b/>
          <w:szCs w:val="22"/>
        </w:rPr>
      </w:pPr>
      <w:r w:rsidRPr="00E80661">
        <w:rPr>
          <w:b/>
          <w:szCs w:val="22"/>
        </w:rPr>
        <w:br w:type="page"/>
      </w:r>
    </w:p>
    <w:p w14:paraId="28926A02" w14:textId="248DD37E" w:rsidR="00BD7323" w:rsidRPr="00E80661" w:rsidRDefault="00A8317D" w:rsidP="00BD7323">
      <w:pPr>
        <w:numPr>
          <w:ilvl w:val="1"/>
          <w:numId w:val="1"/>
        </w:numPr>
        <w:outlineLvl w:val="1"/>
        <w:rPr>
          <w:b/>
          <w:szCs w:val="22"/>
        </w:rPr>
      </w:pPr>
      <w:bookmarkStart w:id="89" w:name="_Toc478112419"/>
      <w:bookmarkStart w:id="90" w:name="_Toc486243290"/>
      <w:bookmarkStart w:id="91" w:name="_Toc485373842"/>
      <w:bookmarkEnd w:id="89"/>
      <w:r w:rsidRPr="00E80661">
        <w:rPr>
          <w:b/>
          <w:szCs w:val="22"/>
        </w:rPr>
        <w:t>EU environment policy</w:t>
      </w:r>
      <w:bookmarkEnd w:id="90"/>
      <w:bookmarkEnd w:id="91"/>
    </w:p>
    <w:p w14:paraId="6B011D24" w14:textId="73D7DB05" w:rsidR="00BD7323" w:rsidRPr="00E80661" w:rsidRDefault="00BD7323" w:rsidP="00A8317D">
      <w:pPr>
        <w:outlineLvl w:val="2"/>
        <w:rPr>
          <w:b/>
          <w:szCs w:val="22"/>
        </w:rPr>
      </w:pPr>
      <w:bookmarkStart w:id="92" w:name="_Toc478112420"/>
      <w:bookmarkEnd w:id="9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BD7323" w:rsidRPr="00E80661" w14:paraId="0ED48BD9" w14:textId="77777777" w:rsidTr="00BD7323">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F19D1" w14:textId="170C3557" w:rsidR="00BD7323" w:rsidRPr="00E80661" w:rsidRDefault="00BD7323" w:rsidP="007D59DC">
            <w:pPr>
              <w:rPr>
                <w:szCs w:val="22"/>
              </w:rPr>
            </w:pPr>
            <w:r w:rsidRPr="00E80661">
              <w:rPr>
                <w:szCs w:val="22"/>
              </w:rPr>
              <w:t>The implementation of the EC Clean Air Programme is still ongoing but in addition to the impact already reported in 2015, the CoR opinion</w:t>
            </w:r>
            <w:r w:rsidR="007D59DC" w:rsidRPr="00E80661">
              <w:rPr>
                <w:szCs w:val="22"/>
              </w:rPr>
              <w:t xml:space="preserve"> on</w:t>
            </w:r>
            <w:r w:rsidRPr="00E80661">
              <w:rPr>
                <w:szCs w:val="22"/>
              </w:rPr>
              <w:t xml:space="preserve"> </w:t>
            </w:r>
            <w:r w:rsidRPr="00E80661">
              <w:rPr>
                <w:b/>
                <w:szCs w:val="22"/>
              </w:rPr>
              <w:t>The Clean Air Policy Package for Europe</w:t>
            </w:r>
            <w:r w:rsidRPr="00644601">
              <w:footnoteReference w:id="76"/>
            </w:r>
            <w:r w:rsidRPr="00E80661">
              <w:rPr>
                <w:b/>
                <w:szCs w:val="22"/>
              </w:rPr>
              <w:t xml:space="preserve"> </w:t>
            </w:r>
            <w:r w:rsidRPr="00E80661">
              <w:rPr>
                <w:szCs w:val="22"/>
              </w:rPr>
              <w:t xml:space="preserve">has had further impact in 2016. The new Directive on the reduction of national emissions of certain atmospheric pollutants is overall of a lower ambition than the CoR had called for. </w:t>
            </w:r>
            <w:r w:rsidR="007A186C" w:rsidRPr="00E80661">
              <w:rPr>
                <w:szCs w:val="22"/>
              </w:rPr>
              <w:t xml:space="preserve">However, </w:t>
            </w:r>
            <w:r w:rsidRPr="00E80661">
              <w:rPr>
                <w:szCs w:val="22"/>
              </w:rPr>
              <w:t xml:space="preserve">in </w:t>
            </w:r>
            <w:r w:rsidRPr="00E80661">
              <w:t xml:space="preserve">line with the CoR </w:t>
            </w:r>
            <w:r w:rsidR="007A186C" w:rsidRPr="00E80661">
              <w:t>o</w:t>
            </w:r>
            <w:r w:rsidRPr="00E80661">
              <w:t xml:space="preserve">pinion the new Directive </w:t>
            </w:r>
            <w:r w:rsidRPr="00E80661">
              <w:rPr>
                <w:szCs w:val="22"/>
              </w:rPr>
              <w:t xml:space="preserve">stipulates that: </w:t>
            </w:r>
          </w:p>
          <w:p w14:paraId="37DE2F88" w14:textId="77777777" w:rsidR="00BD7323" w:rsidRPr="00E80661" w:rsidRDefault="00BD7323" w:rsidP="00644601">
            <w:pPr>
              <w:numPr>
                <w:ilvl w:val="0"/>
                <w:numId w:val="37"/>
              </w:numPr>
              <w:spacing w:before="120"/>
              <w:ind w:left="425" w:hanging="425"/>
              <w:rPr>
                <w:szCs w:val="22"/>
              </w:rPr>
            </w:pPr>
            <w:r w:rsidRPr="00E80661">
              <w:t>Member States in their National Air Pollution Control Programmes have to take account of the need to reduce air pollutant emissions for the purpose of reaching compliance with air quality objectives under the Ambient Air Quality Directive 2008/50/EC;</w:t>
            </w:r>
          </w:p>
          <w:p w14:paraId="61D24E9E" w14:textId="4A670413" w:rsidR="00BD7323" w:rsidRPr="00E80661" w:rsidRDefault="00BD7323" w:rsidP="00644601">
            <w:pPr>
              <w:numPr>
                <w:ilvl w:val="0"/>
                <w:numId w:val="37"/>
              </w:numPr>
              <w:ind w:left="426" w:hanging="426"/>
              <w:rPr>
                <w:szCs w:val="22"/>
              </w:rPr>
            </w:pPr>
            <w:r w:rsidRPr="00E80661">
              <w:t xml:space="preserve">the EC has to </w:t>
            </w:r>
            <w:r w:rsidRPr="00E80661">
              <w:rPr>
                <w:szCs w:val="22"/>
              </w:rPr>
              <w:t xml:space="preserve">report on </w:t>
            </w:r>
            <w:r w:rsidR="007A186C" w:rsidRPr="00E80661">
              <w:rPr>
                <w:szCs w:val="22"/>
              </w:rPr>
              <w:t xml:space="preserve">progress regarding </w:t>
            </w:r>
            <w:r w:rsidRPr="00E80661">
              <w:rPr>
                <w:szCs w:val="22"/>
              </w:rPr>
              <w:t>air quality levels in line with the guidelines of the World Health Organisation;</w:t>
            </w:r>
          </w:p>
          <w:p w14:paraId="5C1EF7E9" w14:textId="260A5E3C" w:rsidR="00BD7323" w:rsidRPr="00E80661" w:rsidRDefault="00BD7323" w:rsidP="00644601">
            <w:pPr>
              <w:numPr>
                <w:ilvl w:val="0"/>
                <w:numId w:val="37"/>
              </w:numPr>
              <w:ind w:left="426" w:hanging="426"/>
              <w:rPr>
                <w:szCs w:val="22"/>
              </w:rPr>
            </w:pPr>
            <w:r w:rsidRPr="00E80661">
              <w:rPr>
                <w:szCs w:val="22"/>
              </w:rPr>
              <w:t xml:space="preserve">the EC has to investigate the need for further action in </w:t>
            </w:r>
            <w:r w:rsidR="007A186C" w:rsidRPr="00E80661">
              <w:rPr>
                <w:szCs w:val="22"/>
              </w:rPr>
              <w:t>the event o</w:t>
            </w:r>
            <w:r w:rsidRPr="00E80661">
              <w:rPr>
                <w:szCs w:val="22"/>
              </w:rPr>
              <w:t>f non-achievement</w:t>
            </w:r>
            <w:r w:rsidR="006D2A28">
              <w:rPr>
                <w:szCs w:val="22"/>
              </w:rPr>
              <w:t>,</w:t>
            </w:r>
            <w:r w:rsidRPr="00E80661">
              <w:rPr>
                <w:szCs w:val="22"/>
              </w:rPr>
              <w:t xml:space="preserve"> including additional legislative proposals </w:t>
            </w:r>
            <w:r w:rsidRPr="00E80661">
              <w:t>including new source-based air control pollution legislation,</w:t>
            </w:r>
            <w:r w:rsidRPr="00E80661">
              <w:rPr>
                <w:szCs w:val="22"/>
              </w:rPr>
              <w:t xml:space="preserve"> in order to ensure compliance with the Directive.</w:t>
            </w:r>
          </w:p>
          <w:p w14:paraId="2B1990CB" w14:textId="77777777" w:rsidR="00BD7323" w:rsidRPr="00E80661" w:rsidRDefault="00BD7323" w:rsidP="00BD7323">
            <w:pPr>
              <w:ind w:left="786"/>
              <w:rPr>
                <w:szCs w:val="22"/>
              </w:rPr>
            </w:pPr>
          </w:p>
        </w:tc>
      </w:tr>
    </w:tbl>
    <w:p w14:paraId="008FF8A8" w14:textId="57946AF3" w:rsidR="00A8317D" w:rsidRPr="00E80661" w:rsidRDefault="00A8317D" w:rsidP="00A8317D">
      <w:pPr>
        <w:spacing w:after="120"/>
        <w:outlineLvl w:val="2"/>
        <w:rPr>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BD7323" w:rsidRPr="00E80661" w14:paraId="606CA3E0" w14:textId="77777777" w:rsidTr="00BD7323">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29D2B" w14:textId="76CDECD9" w:rsidR="00BD7323" w:rsidRPr="00E80661" w:rsidRDefault="00BD7323" w:rsidP="00BD7323">
            <w:pPr>
              <w:rPr>
                <w:szCs w:val="22"/>
              </w:rPr>
            </w:pPr>
            <w:r w:rsidRPr="00E80661">
              <w:rPr>
                <w:szCs w:val="22"/>
              </w:rPr>
              <w:t xml:space="preserve">Many recommendations from the CoR opinion on </w:t>
            </w:r>
            <w:r w:rsidRPr="00E80661">
              <w:rPr>
                <w:b/>
                <w:szCs w:val="22"/>
              </w:rPr>
              <w:t>Legislative proposals amending waste directives</w:t>
            </w:r>
            <w:r w:rsidRPr="00644601">
              <w:rPr>
                <w:b/>
              </w:rPr>
              <w:footnoteReference w:id="77"/>
            </w:r>
            <w:r w:rsidRPr="00E80661">
              <w:rPr>
                <w:b/>
                <w:szCs w:val="22"/>
                <w:vertAlign w:val="superscript"/>
              </w:rPr>
              <w:t xml:space="preserve"> </w:t>
            </w:r>
            <w:r w:rsidRPr="00E80661">
              <w:rPr>
                <w:szCs w:val="22"/>
              </w:rPr>
              <w:t>were reflected in the first reading position adopted by the European Parliament</w:t>
            </w:r>
            <w:r w:rsidRPr="00E80661">
              <w:rPr>
                <w:rStyle w:val="FootnoteReference"/>
                <w:szCs w:val="22"/>
              </w:rPr>
              <w:footnoteReference w:id="78"/>
            </w:r>
            <w:r w:rsidRPr="00E80661">
              <w:rPr>
                <w:szCs w:val="22"/>
              </w:rPr>
              <w:t>. These include:</w:t>
            </w:r>
          </w:p>
          <w:p w14:paraId="74246A30" w14:textId="77777777" w:rsidR="00BD7323" w:rsidRPr="00E80661" w:rsidRDefault="00BD7323" w:rsidP="00644601">
            <w:pPr>
              <w:numPr>
                <w:ilvl w:val="0"/>
                <w:numId w:val="41"/>
              </w:numPr>
              <w:rPr>
                <w:szCs w:val="22"/>
              </w:rPr>
            </w:pPr>
            <w:r w:rsidRPr="00E80661">
              <w:rPr>
                <w:szCs w:val="22"/>
              </w:rPr>
              <w:t>extended producer responsibility schemes;</w:t>
            </w:r>
          </w:p>
          <w:p w14:paraId="340A9F09" w14:textId="550444DB" w:rsidR="00BD7323" w:rsidRPr="00E80661" w:rsidRDefault="00BD7323" w:rsidP="00644601">
            <w:pPr>
              <w:numPr>
                <w:ilvl w:val="0"/>
                <w:numId w:val="41"/>
              </w:numPr>
              <w:rPr>
                <w:szCs w:val="22"/>
              </w:rPr>
            </w:pPr>
            <w:r w:rsidRPr="00E80661">
              <w:rPr>
                <w:szCs w:val="22"/>
              </w:rPr>
              <w:t>an increase in the proposed 2030 reuse and recycling tar</w:t>
            </w:r>
            <w:r w:rsidR="007A186C" w:rsidRPr="00E80661">
              <w:rPr>
                <w:szCs w:val="22"/>
              </w:rPr>
              <w:t>g</w:t>
            </w:r>
            <w:r w:rsidRPr="00E80661">
              <w:rPr>
                <w:szCs w:val="22"/>
              </w:rPr>
              <w:t>et for municipal waste (</w:t>
            </w:r>
            <w:r w:rsidR="007A186C" w:rsidRPr="00E80661">
              <w:rPr>
                <w:szCs w:val="22"/>
              </w:rPr>
              <w:t xml:space="preserve">from </w:t>
            </w:r>
            <w:r w:rsidRPr="00E80661">
              <w:rPr>
                <w:szCs w:val="22"/>
              </w:rPr>
              <w:t>65% to 70%);</w:t>
            </w:r>
          </w:p>
          <w:p w14:paraId="1683EFD1" w14:textId="1FD26159" w:rsidR="00BD7323" w:rsidRPr="00E80661" w:rsidRDefault="00BD7323" w:rsidP="00644601">
            <w:pPr>
              <w:numPr>
                <w:ilvl w:val="0"/>
                <w:numId w:val="41"/>
              </w:numPr>
              <w:rPr>
                <w:szCs w:val="22"/>
              </w:rPr>
            </w:pPr>
            <w:r w:rsidRPr="00E80661">
              <w:rPr>
                <w:szCs w:val="22"/>
              </w:rPr>
              <w:t>possibility to set reuse and recycling targets for construction and demolition waste by 2025 and 2030;</w:t>
            </w:r>
          </w:p>
          <w:p w14:paraId="5E93ECB5" w14:textId="77777777" w:rsidR="00BD7323" w:rsidRPr="00E80661" w:rsidRDefault="00BD7323" w:rsidP="00644601">
            <w:pPr>
              <w:numPr>
                <w:ilvl w:val="0"/>
                <w:numId w:val="41"/>
              </w:numPr>
              <w:rPr>
                <w:szCs w:val="22"/>
              </w:rPr>
            </w:pPr>
            <w:r w:rsidRPr="00E80661">
              <w:rPr>
                <w:szCs w:val="22"/>
              </w:rPr>
              <w:t>a definition of littering;</w:t>
            </w:r>
          </w:p>
          <w:p w14:paraId="6BECB60A" w14:textId="64ED5A5D" w:rsidR="00BD7323" w:rsidRPr="00E80661" w:rsidRDefault="00BD7323" w:rsidP="00644601">
            <w:pPr>
              <w:numPr>
                <w:ilvl w:val="0"/>
                <w:numId w:val="41"/>
              </w:numPr>
              <w:rPr>
                <w:szCs w:val="22"/>
              </w:rPr>
            </w:pPr>
            <w:r w:rsidRPr="00E80661">
              <w:rPr>
                <w:szCs w:val="22"/>
              </w:rPr>
              <w:t xml:space="preserve">a target and restrictions </w:t>
            </w:r>
            <w:r w:rsidR="007A186C" w:rsidRPr="00E80661">
              <w:rPr>
                <w:szCs w:val="22"/>
              </w:rPr>
              <w:t>on</w:t>
            </w:r>
            <w:r w:rsidRPr="00E80661">
              <w:rPr>
                <w:szCs w:val="22"/>
              </w:rPr>
              <w:t xml:space="preserve"> the landfill of non-hazardous waste other than municipal waste.</w:t>
            </w:r>
          </w:p>
          <w:p w14:paraId="7310991D" w14:textId="77777777" w:rsidR="00BD7323" w:rsidRPr="00E80661" w:rsidRDefault="00BD7323" w:rsidP="00BD7323">
            <w:pPr>
              <w:rPr>
                <w:szCs w:val="22"/>
              </w:rPr>
            </w:pPr>
          </w:p>
          <w:p w14:paraId="5ECED48F" w14:textId="59A43798" w:rsidR="00BD7323" w:rsidRPr="00E80661" w:rsidRDefault="00BD7323" w:rsidP="00BD7323">
            <w:pPr>
              <w:rPr>
                <w:szCs w:val="22"/>
              </w:rPr>
            </w:pPr>
            <w:r w:rsidRPr="00E80661">
              <w:rPr>
                <w:szCs w:val="22"/>
              </w:rPr>
              <w:t xml:space="preserve">On 19 May 2017, the Permanent Representatives Committee (Coreper) agreed on a Council negotiating mandate. In comparison to the CoR and EP position, the Council negotiating mandate is less ambitious and lowers the reuse and recycling targets for municipal </w:t>
            </w:r>
            <w:r w:rsidR="007A186C" w:rsidRPr="00E80661">
              <w:rPr>
                <w:szCs w:val="22"/>
              </w:rPr>
              <w:t xml:space="preserve">waste </w:t>
            </w:r>
            <w:r w:rsidRPr="00E80661">
              <w:rPr>
                <w:szCs w:val="22"/>
              </w:rPr>
              <w:t>and for packaging waste.</w:t>
            </w:r>
          </w:p>
          <w:p w14:paraId="3FBD68DC" w14:textId="77777777" w:rsidR="00BD7323" w:rsidRPr="00E80661" w:rsidRDefault="00BD7323" w:rsidP="00BD7323">
            <w:pPr>
              <w:ind w:left="786"/>
              <w:rPr>
                <w:szCs w:val="22"/>
              </w:rPr>
            </w:pPr>
          </w:p>
        </w:tc>
      </w:tr>
    </w:tbl>
    <w:p w14:paraId="673D1537" w14:textId="23A135EC" w:rsidR="00BD7323" w:rsidRPr="00E80661" w:rsidRDefault="00BD7323" w:rsidP="00A8317D">
      <w:pPr>
        <w:outlineLvl w:val="2"/>
        <w:rPr>
          <w:b/>
          <w:szCs w:val="22"/>
        </w:rPr>
      </w:pPr>
    </w:p>
    <w:p w14:paraId="6B8CDEB6" w14:textId="00B0831F" w:rsidR="00BD7323" w:rsidRPr="00E80661" w:rsidRDefault="00BD7323" w:rsidP="00BD7323">
      <w:pPr>
        <w:spacing w:before="120"/>
        <w:rPr>
          <w:szCs w:val="22"/>
        </w:rPr>
      </w:pPr>
      <w:r w:rsidRPr="00E80661">
        <w:rPr>
          <w:szCs w:val="22"/>
        </w:rPr>
        <w:t xml:space="preserve">The own-initiative opinion </w:t>
      </w:r>
      <w:r w:rsidRPr="00E80661">
        <w:rPr>
          <w:b/>
          <w:szCs w:val="22"/>
        </w:rPr>
        <w:t>Contribution to the fitness check on the EU Birds and Habitats Directives</w:t>
      </w:r>
      <w:r w:rsidRPr="00644601">
        <w:footnoteReference w:id="79"/>
      </w:r>
      <w:r w:rsidRPr="00E80661">
        <w:rPr>
          <w:szCs w:val="22"/>
        </w:rPr>
        <w:t xml:space="preserve"> has had further impact in 2016. In line with the CoR opinion, on 7 December 2016 </w:t>
      </w:r>
      <w:r w:rsidR="00DA15D2" w:rsidRPr="00E80661">
        <w:rPr>
          <w:szCs w:val="22"/>
        </w:rPr>
        <w:t xml:space="preserve">the EC decided </w:t>
      </w:r>
      <w:r w:rsidRPr="00E80661">
        <w:rPr>
          <w:szCs w:val="22"/>
        </w:rPr>
        <w:t xml:space="preserve">not to open </w:t>
      </w:r>
      <w:r w:rsidR="00E258AE">
        <w:rPr>
          <w:szCs w:val="22"/>
        </w:rPr>
        <w:t xml:space="preserve">up </w:t>
      </w:r>
      <w:r w:rsidRPr="00E80661">
        <w:rPr>
          <w:szCs w:val="22"/>
        </w:rPr>
        <w:t xml:space="preserve">the Directives for review, but to adopt an Action Plan on their improved implementation. </w:t>
      </w:r>
    </w:p>
    <w:p w14:paraId="1648CAE8" w14:textId="1B8C1A92" w:rsidR="00BD7323" w:rsidRPr="00E80661" w:rsidRDefault="00DA15D2" w:rsidP="00BD7323">
      <w:pPr>
        <w:spacing w:before="120"/>
        <w:rPr>
          <w:szCs w:val="22"/>
        </w:rPr>
      </w:pPr>
      <w:r w:rsidRPr="00E80661">
        <w:rPr>
          <w:szCs w:val="22"/>
        </w:rPr>
        <w:t>T</w:t>
      </w:r>
      <w:r w:rsidR="00BD7323" w:rsidRPr="00E80661">
        <w:rPr>
          <w:szCs w:val="22"/>
        </w:rPr>
        <w:t xml:space="preserve">he European </w:t>
      </w:r>
      <w:r w:rsidR="00E80661" w:rsidRPr="00E80661">
        <w:rPr>
          <w:szCs w:val="22"/>
        </w:rPr>
        <w:t>Commission</w:t>
      </w:r>
      <w:r w:rsidR="00BD7323" w:rsidRPr="00E80661">
        <w:rPr>
          <w:szCs w:val="22"/>
        </w:rPr>
        <w:t xml:space="preserve"> </w:t>
      </w:r>
      <w:r w:rsidRPr="00E80661">
        <w:rPr>
          <w:szCs w:val="22"/>
        </w:rPr>
        <w:t xml:space="preserve">closely involved the CoR </w:t>
      </w:r>
      <w:r w:rsidR="00BD7323" w:rsidRPr="00E80661">
        <w:rPr>
          <w:szCs w:val="22"/>
        </w:rPr>
        <w:t>in:</w:t>
      </w:r>
    </w:p>
    <w:p w14:paraId="019CD138" w14:textId="336C49C1" w:rsidR="00BD7323" w:rsidRPr="00E80661" w:rsidRDefault="00BD7323" w:rsidP="00644601">
      <w:pPr>
        <w:pStyle w:val="ListParagraph"/>
        <w:numPr>
          <w:ilvl w:val="0"/>
          <w:numId w:val="54"/>
        </w:numPr>
        <w:spacing w:before="120"/>
        <w:rPr>
          <w:szCs w:val="22"/>
        </w:rPr>
      </w:pPr>
      <w:r w:rsidRPr="00E80661">
        <w:rPr>
          <w:szCs w:val="22"/>
        </w:rPr>
        <w:t>the preparation of the Action Plan (CoR participation in the project team of Commissioners steering the preparation);</w:t>
      </w:r>
    </w:p>
    <w:p w14:paraId="781307E3" w14:textId="080F8189" w:rsidR="00BD7323" w:rsidRPr="00E80661" w:rsidRDefault="00BD7323" w:rsidP="00644601">
      <w:pPr>
        <w:pStyle w:val="ListParagraph"/>
        <w:numPr>
          <w:ilvl w:val="0"/>
          <w:numId w:val="54"/>
        </w:numPr>
        <w:spacing w:before="120"/>
        <w:rPr>
          <w:szCs w:val="22"/>
        </w:rPr>
      </w:pPr>
      <w:r w:rsidRPr="00E80661">
        <w:rPr>
          <w:szCs w:val="22"/>
        </w:rPr>
        <w:t xml:space="preserve">the roll-out of the Action Plan (co-responsibility to be given to the CoR for some actions of the Action Plan, including in particular the setting up of a joint CoR/EC platform to support knowledge exchange and </w:t>
      </w:r>
      <w:r w:rsidR="00144A24" w:rsidRPr="00E80661">
        <w:rPr>
          <w:szCs w:val="22"/>
        </w:rPr>
        <w:t xml:space="preserve">the </w:t>
      </w:r>
      <w:r w:rsidRPr="00E80661">
        <w:rPr>
          <w:szCs w:val="22"/>
        </w:rPr>
        <w:t>engagement of local and regional authorities).</w:t>
      </w:r>
    </w:p>
    <w:p w14:paraId="0D2298AA" w14:textId="77777777" w:rsidR="00BD7323" w:rsidRPr="00E80661" w:rsidRDefault="00BD7323" w:rsidP="00BD7323">
      <w:pPr>
        <w:spacing w:before="120"/>
        <w:rPr>
          <w:szCs w:val="22"/>
        </w:rPr>
      </w:pPr>
      <w:r w:rsidRPr="00E80661">
        <w:rPr>
          <w:szCs w:val="22"/>
        </w:rPr>
        <w:t>The Action Plan, adopted by the European Commission on 27 April 2017, stresses that "</w:t>
      </w:r>
      <w:r w:rsidRPr="00E80661">
        <w:rPr>
          <w:i/>
          <w:szCs w:val="22"/>
        </w:rPr>
        <w:t>the CoR (…) will play an essential role as regards engagement with and outreach to regional and local authorities</w:t>
      </w:r>
      <w:r w:rsidRPr="00E80661">
        <w:rPr>
          <w:szCs w:val="22"/>
        </w:rPr>
        <w:t xml:space="preserve">." </w:t>
      </w:r>
    </w:p>
    <w:p w14:paraId="68A5A6F5" w14:textId="0EB3F960" w:rsidR="00A8317D" w:rsidRPr="00E80661" w:rsidRDefault="00BD7323" w:rsidP="00BD7323">
      <w:pPr>
        <w:spacing w:before="120"/>
        <w:rPr>
          <w:szCs w:val="22"/>
        </w:rPr>
      </w:pPr>
      <w:r w:rsidRPr="00E80661">
        <w:rPr>
          <w:szCs w:val="22"/>
        </w:rPr>
        <w:t>On 21 May 2017</w:t>
      </w:r>
      <w:r w:rsidR="00144A24" w:rsidRPr="00E80661">
        <w:rPr>
          <w:szCs w:val="22"/>
        </w:rPr>
        <w:t>,</w:t>
      </w:r>
      <w:r w:rsidRPr="00E80661">
        <w:rPr>
          <w:szCs w:val="22"/>
        </w:rPr>
        <w:t xml:space="preserve"> the CoR </w:t>
      </w:r>
      <w:r w:rsidR="009464F1" w:rsidRPr="00E80661">
        <w:rPr>
          <w:szCs w:val="22"/>
        </w:rPr>
        <w:t xml:space="preserve">first </w:t>
      </w:r>
      <w:r w:rsidRPr="00E80661">
        <w:rPr>
          <w:szCs w:val="22"/>
        </w:rPr>
        <w:t xml:space="preserve">Vice-President </w:t>
      </w:r>
      <w:r w:rsidR="00144A24" w:rsidRPr="00E80661">
        <w:rPr>
          <w:szCs w:val="22"/>
        </w:rPr>
        <w:t xml:space="preserve">Karl-Heinz </w:t>
      </w:r>
      <w:r w:rsidRPr="00E80661">
        <w:rPr>
          <w:szCs w:val="22"/>
        </w:rPr>
        <w:t xml:space="preserve">Lambertz co-signed a joint declaration with Commissioner Vella </w:t>
      </w:r>
      <w:r w:rsidR="00144A24" w:rsidRPr="00E80661">
        <w:rPr>
          <w:szCs w:val="22"/>
        </w:rPr>
        <w:t>proclaiming</w:t>
      </w:r>
      <w:r w:rsidRPr="00E80661">
        <w:rPr>
          <w:szCs w:val="22"/>
        </w:rPr>
        <w:t xml:space="preserve"> European Natura 2000 Day. </w:t>
      </w:r>
    </w:p>
    <w:p w14:paraId="49C0817C" w14:textId="514495ED" w:rsidR="00A8317D" w:rsidRPr="00E80661" w:rsidRDefault="00A8317D" w:rsidP="00A8317D">
      <w:pPr>
        <w:spacing w:before="120"/>
        <w:rPr>
          <w:szCs w:val="22"/>
        </w:rPr>
      </w:pPr>
      <w:r w:rsidRPr="00E80661">
        <w:rPr>
          <w:szCs w:val="22"/>
        </w:rPr>
        <w:t xml:space="preserve">The CoR outlook opinion </w:t>
      </w:r>
      <w:r w:rsidR="004E6A67" w:rsidRPr="00E80661">
        <w:rPr>
          <w:szCs w:val="22"/>
        </w:rPr>
        <w:t xml:space="preserve">on </w:t>
      </w:r>
      <w:r w:rsidRPr="00E80661">
        <w:rPr>
          <w:b/>
          <w:szCs w:val="22"/>
        </w:rPr>
        <w:t>EU environment law: improving reporting and compliance</w:t>
      </w:r>
      <w:r w:rsidRPr="00644601">
        <w:rPr>
          <w:rStyle w:val="FootnoteReference"/>
          <w:b/>
        </w:rPr>
        <w:footnoteReference w:id="80"/>
      </w:r>
      <w:r w:rsidRPr="00E80661">
        <w:rPr>
          <w:szCs w:val="22"/>
        </w:rPr>
        <w:t xml:space="preserve"> called for the EC to </w:t>
      </w:r>
      <w:r w:rsidR="004E6A67" w:rsidRPr="00E80661">
        <w:rPr>
          <w:szCs w:val="22"/>
        </w:rPr>
        <w:t xml:space="preserve">involve </w:t>
      </w:r>
      <w:r w:rsidRPr="00E80661">
        <w:rPr>
          <w:szCs w:val="22"/>
        </w:rPr>
        <w:t xml:space="preserve">the CoR </w:t>
      </w:r>
      <w:r w:rsidR="004E6A67" w:rsidRPr="00E80661">
        <w:rPr>
          <w:szCs w:val="22"/>
        </w:rPr>
        <w:t>closely on</w:t>
      </w:r>
      <w:r w:rsidRPr="00E80661">
        <w:rPr>
          <w:szCs w:val="22"/>
        </w:rPr>
        <w:t xml:space="preserve"> any future European Commission initiatives on better implementation of EU environment law. As a result</w:t>
      </w:r>
      <w:r w:rsidR="004E6A67" w:rsidRPr="00E80661">
        <w:rPr>
          <w:szCs w:val="22"/>
        </w:rPr>
        <w:t>,</w:t>
      </w:r>
      <w:r w:rsidRPr="00E80661">
        <w:rPr>
          <w:szCs w:val="22"/>
        </w:rPr>
        <w:t xml:space="preserve"> the EC Communication on the new Environmental Implementation Review (EIR) tool of May 2016 states that:</w:t>
      </w:r>
    </w:p>
    <w:p w14:paraId="79344D62" w14:textId="47AF34BC" w:rsidR="00A8317D" w:rsidRPr="00E80661" w:rsidRDefault="00A8317D" w:rsidP="00A8317D">
      <w:pPr>
        <w:numPr>
          <w:ilvl w:val="0"/>
          <w:numId w:val="40"/>
        </w:numPr>
        <w:spacing w:before="120"/>
        <w:ind w:left="357" w:hanging="357"/>
        <w:rPr>
          <w:szCs w:val="22"/>
        </w:rPr>
      </w:pPr>
      <w:r w:rsidRPr="00E80661">
        <w:rPr>
          <w:szCs w:val="22"/>
        </w:rPr>
        <w:t>the EC will liaise with the CoR in respect of key horizontal findings; e.g. through the joint CoR/EC Technical Platform for Cooperation on the Environment</w:t>
      </w:r>
      <w:r w:rsidRPr="00644601">
        <w:footnoteReference w:id="81"/>
      </w:r>
      <w:r w:rsidR="004E6A67" w:rsidRPr="00E80661">
        <w:rPr>
          <w:szCs w:val="22"/>
        </w:rPr>
        <w:t>;</w:t>
      </w:r>
    </w:p>
    <w:p w14:paraId="78B3B316" w14:textId="6689928C" w:rsidR="00A8317D" w:rsidRPr="00E80661" w:rsidRDefault="00A8317D" w:rsidP="00A8317D">
      <w:pPr>
        <w:numPr>
          <w:ilvl w:val="0"/>
          <w:numId w:val="40"/>
        </w:numPr>
        <w:spacing w:before="120"/>
        <w:ind w:left="357" w:hanging="357"/>
        <w:rPr>
          <w:szCs w:val="22"/>
        </w:rPr>
      </w:pPr>
      <w:r w:rsidRPr="00E80661">
        <w:rPr>
          <w:szCs w:val="22"/>
        </w:rPr>
        <w:t>the outcome of these dialogues will feed into the EIR cycles.</w:t>
      </w:r>
    </w:p>
    <w:p w14:paraId="5C55BD7A" w14:textId="77777777" w:rsidR="000C26A7" w:rsidRPr="00E80661" w:rsidRDefault="000C26A7" w:rsidP="00707FB6">
      <w:pPr>
        <w:rPr>
          <w:szCs w:val="22"/>
        </w:rPr>
      </w:pPr>
    </w:p>
    <w:p w14:paraId="5431C36D" w14:textId="77777777" w:rsidR="000B6871" w:rsidRPr="00E80661" w:rsidRDefault="000B6871" w:rsidP="00707FB6">
      <w:pPr>
        <w:rPr>
          <w:szCs w:val="22"/>
        </w:rPr>
      </w:pPr>
    </w:p>
    <w:p w14:paraId="5C55BD7B" w14:textId="2A3003D1" w:rsidR="00707FB6" w:rsidRPr="00E80661" w:rsidRDefault="00707FB6" w:rsidP="00707FB6">
      <w:pPr>
        <w:numPr>
          <w:ilvl w:val="0"/>
          <w:numId w:val="1"/>
        </w:numPr>
        <w:outlineLvl w:val="0"/>
        <w:rPr>
          <w:b/>
          <w:kern w:val="28"/>
          <w:szCs w:val="22"/>
        </w:rPr>
      </w:pPr>
      <w:r w:rsidRPr="00E80661">
        <w:rPr>
          <w:b/>
          <w:kern w:val="28"/>
          <w:szCs w:val="22"/>
        </w:rPr>
        <w:t xml:space="preserve"> </w:t>
      </w:r>
      <w:bookmarkStart w:id="93" w:name="_Toc486243291"/>
      <w:r w:rsidR="00FE10FE" w:rsidRPr="00E80661">
        <w:rPr>
          <w:b/>
          <w:kern w:val="28"/>
          <w:szCs w:val="22"/>
        </w:rPr>
        <w:t>Natural Resources</w:t>
      </w:r>
      <w:bookmarkEnd w:id="93"/>
    </w:p>
    <w:p w14:paraId="5C55BD7C" w14:textId="77777777" w:rsidR="00707FB6" w:rsidRPr="00E80661" w:rsidRDefault="00707FB6" w:rsidP="00707FB6">
      <w:pPr>
        <w:rPr>
          <w:szCs w:val="22"/>
        </w:rPr>
      </w:pPr>
    </w:p>
    <w:p w14:paraId="5C55BD7D" w14:textId="77777777" w:rsidR="007F0B1D" w:rsidRPr="00E80661" w:rsidRDefault="007F0B1D" w:rsidP="007F0B1D">
      <w:pPr>
        <w:numPr>
          <w:ilvl w:val="1"/>
          <w:numId w:val="1"/>
        </w:numPr>
        <w:outlineLvl w:val="1"/>
        <w:rPr>
          <w:b/>
          <w:szCs w:val="22"/>
        </w:rPr>
      </w:pPr>
      <w:bookmarkStart w:id="94" w:name="_Toc486243292"/>
      <w:bookmarkStart w:id="95" w:name="_Toc485373844"/>
      <w:bookmarkStart w:id="96" w:name="_Toc478112426"/>
      <w:r w:rsidRPr="00E80661">
        <w:rPr>
          <w:b/>
          <w:szCs w:val="22"/>
        </w:rPr>
        <w:t>Food policy</w:t>
      </w:r>
      <w:bookmarkEnd w:id="94"/>
      <w:bookmarkEnd w:id="95"/>
    </w:p>
    <w:p w14:paraId="5C55BD7E" w14:textId="20B7A96C" w:rsidR="00E24A1B" w:rsidRPr="00E80661" w:rsidRDefault="00E24A1B" w:rsidP="00E24A1B">
      <w:pPr>
        <w:spacing w:before="200"/>
      </w:pPr>
      <w:r w:rsidRPr="00E80661">
        <w:t xml:space="preserve">Following a recommendation </w:t>
      </w:r>
      <w:r w:rsidR="009D3E6F" w:rsidRPr="00E80661">
        <w:t xml:space="preserve">put forward in </w:t>
      </w:r>
      <w:r w:rsidRPr="00E80661">
        <w:t xml:space="preserve">the opinion on </w:t>
      </w:r>
      <w:r w:rsidRPr="00E80661">
        <w:rPr>
          <w:b/>
        </w:rPr>
        <w:t>Food Waste</w:t>
      </w:r>
      <w:r w:rsidRPr="00644601">
        <w:rPr>
          <w:rStyle w:val="FootnoteReference"/>
          <w:b/>
        </w:rPr>
        <w:footnoteReference w:id="82"/>
      </w:r>
      <w:r w:rsidRPr="00E80661">
        <w:t xml:space="preserve"> as well as an opinion on</w:t>
      </w:r>
      <w:r w:rsidR="009D3E6F" w:rsidRPr="00E80661">
        <w:t xml:space="preserve"> the</w:t>
      </w:r>
      <w:r w:rsidRPr="00E80661">
        <w:t xml:space="preserve"> </w:t>
      </w:r>
      <w:r w:rsidRPr="00E80661">
        <w:rPr>
          <w:b/>
        </w:rPr>
        <w:t xml:space="preserve">EU Action Plan </w:t>
      </w:r>
      <w:r w:rsidR="009D3E6F" w:rsidRPr="00E80661">
        <w:rPr>
          <w:b/>
        </w:rPr>
        <w:t xml:space="preserve">for the </w:t>
      </w:r>
      <w:r w:rsidRPr="00E80661">
        <w:rPr>
          <w:b/>
        </w:rPr>
        <w:t>Circular Economy</w:t>
      </w:r>
      <w:r w:rsidRPr="00644601">
        <w:rPr>
          <w:rStyle w:val="FootnoteReference"/>
          <w:b/>
        </w:rPr>
        <w:footnoteReference w:id="83"/>
      </w:r>
      <w:r w:rsidRPr="00E80661">
        <w:t xml:space="preserve">, the CoR was officially invited to participate in the EU Platform </w:t>
      </w:r>
      <w:r w:rsidR="007B39E0" w:rsidRPr="00E80661">
        <w:t>on</w:t>
      </w:r>
      <w:r w:rsidRPr="00E80661">
        <w:t xml:space="preserve"> </w:t>
      </w:r>
      <w:r w:rsidR="007B39E0" w:rsidRPr="00E80661">
        <w:t>F</w:t>
      </w:r>
      <w:r w:rsidRPr="00E80661">
        <w:t xml:space="preserve">ood </w:t>
      </w:r>
      <w:r w:rsidR="007B39E0" w:rsidRPr="00E80661">
        <w:t>L</w:t>
      </w:r>
      <w:r w:rsidRPr="00E80661">
        <w:t xml:space="preserve">osses and </w:t>
      </w:r>
      <w:r w:rsidR="007B39E0" w:rsidRPr="00E80661">
        <w:t>F</w:t>
      </w:r>
      <w:r w:rsidRPr="00E80661">
        <w:t xml:space="preserve">ood </w:t>
      </w:r>
      <w:r w:rsidR="007B39E0" w:rsidRPr="00E80661">
        <w:t>W</w:t>
      </w:r>
      <w:r w:rsidRPr="00E80661">
        <w:t xml:space="preserve">aste, established by the European Commissioner on Health and Food Safety in November 2016. Its main mission is to "support the Commission, Member States and all actors in the food value chain in achieving the </w:t>
      </w:r>
      <w:r w:rsidR="00177055" w:rsidRPr="00E80661">
        <w:t xml:space="preserve">UN </w:t>
      </w:r>
      <w:r w:rsidRPr="00E80661">
        <w:t>S</w:t>
      </w:r>
      <w:r w:rsidR="00177055" w:rsidRPr="00E80661">
        <w:t xml:space="preserve">ustainable </w:t>
      </w:r>
      <w:r w:rsidRPr="00E80661">
        <w:t>D</w:t>
      </w:r>
      <w:r w:rsidR="00177055" w:rsidRPr="00E80661">
        <w:t xml:space="preserve">evelopment </w:t>
      </w:r>
      <w:r w:rsidRPr="00E80661">
        <w:t>G</w:t>
      </w:r>
      <w:r w:rsidR="00177055" w:rsidRPr="00E80661">
        <w:t>oals</w:t>
      </w:r>
      <w:r w:rsidRPr="00E80661">
        <w:t xml:space="preserve"> 12.3 food loss and waste reduction targets without compromising food safety, feed safety and/or animal health</w:t>
      </w:r>
      <w:r w:rsidR="008A480A" w:rsidRPr="00E80661">
        <w:t>.</w:t>
      </w:r>
      <w:r w:rsidRPr="00E80661">
        <w:t>"</w:t>
      </w:r>
    </w:p>
    <w:p w14:paraId="5C55BD7F" w14:textId="40EB6648" w:rsidR="00E24A1B" w:rsidRPr="00E80661" w:rsidRDefault="00E24A1B" w:rsidP="00E24A1B">
      <w:pPr>
        <w:spacing w:before="200" w:after="200"/>
        <w:rPr>
          <w:i/>
        </w:rPr>
      </w:pPr>
      <w:r w:rsidRPr="00E80661">
        <w:t xml:space="preserve">Following consultations between the EP and CoR rapporteurs, the EP report on </w:t>
      </w:r>
      <w:r w:rsidR="00C85F69">
        <w:rPr>
          <w:bCs/>
          <w:szCs w:val="22"/>
        </w:rPr>
        <w:t xml:space="preserve">the </w:t>
      </w:r>
      <w:r w:rsidR="00177055" w:rsidRPr="00E80661">
        <w:rPr>
          <w:bCs/>
          <w:szCs w:val="22"/>
        </w:rPr>
        <w:t>I</w:t>
      </w:r>
      <w:r w:rsidRPr="00E80661">
        <w:rPr>
          <w:bCs/>
          <w:szCs w:val="22"/>
        </w:rPr>
        <w:t>nitiative on resource</w:t>
      </w:r>
      <w:r w:rsidRPr="00E80661">
        <w:rPr>
          <w:rFonts w:ascii="Arial" w:hAnsi="Arial" w:cs="Arial"/>
          <w:b/>
          <w:bCs/>
          <w:sz w:val="18"/>
          <w:szCs w:val="18"/>
        </w:rPr>
        <w:t xml:space="preserve"> </w:t>
      </w:r>
      <w:r w:rsidRPr="00E80661">
        <w:rPr>
          <w:bCs/>
          <w:szCs w:val="22"/>
        </w:rPr>
        <w:t>efficiency: reducing food waste, improving food safety</w:t>
      </w:r>
      <w:r w:rsidRPr="00644601">
        <w:footnoteReference w:id="84"/>
      </w:r>
      <w:r w:rsidRPr="00E80661">
        <w:rPr>
          <w:szCs w:val="22"/>
        </w:rPr>
        <w:t xml:space="preserve"> takes</w:t>
      </w:r>
      <w:r w:rsidRPr="00E80661">
        <w:t xml:space="preserve"> on board the following suggestions </w:t>
      </w:r>
      <w:r w:rsidR="008A480A" w:rsidRPr="00E80661">
        <w:t xml:space="preserve">made in </w:t>
      </w:r>
      <w:r w:rsidRPr="00E80661">
        <w:t xml:space="preserve">the CoR opinion: </w:t>
      </w:r>
    </w:p>
    <w:p w14:paraId="5C55BD80" w14:textId="7452B226" w:rsidR="00E24A1B" w:rsidRPr="00E80661" w:rsidRDefault="00177055" w:rsidP="00684760">
      <w:pPr>
        <w:numPr>
          <w:ilvl w:val="0"/>
          <w:numId w:val="36"/>
        </w:numPr>
        <w:ind w:left="714" w:hanging="357"/>
        <w:rPr>
          <w:i/>
        </w:rPr>
      </w:pPr>
      <w:r w:rsidRPr="00E80661">
        <w:rPr>
          <w:szCs w:val="22"/>
        </w:rPr>
        <w:t>t</w:t>
      </w:r>
      <w:r w:rsidR="00E24A1B" w:rsidRPr="00E80661">
        <w:rPr>
          <w:szCs w:val="22"/>
        </w:rPr>
        <w:t>he food waste reduction target of 30% by 2025;</w:t>
      </w:r>
    </w:p>
    <w:p w14:paraId="5C55BD81" w14:textId="23894827" w:rsidR="00E24A1B" w:rsidRPr="00E80661" w:rsidRDefault="00177055" w:rsidP="00684760">
      <w:pPr>
        <w:numPr>
          <w:ilvl w:val="0"/>
          <w:numId w:val="36"/>
        </w:numPr>
        <w:ind w:left="714" w:hanging="357"/>
        <w:rPr>
          <w:i/>
        </w:rPr>
      </w:pPr>
      <w:r w:rsidRPr="00E80661">
        <w:rPr>
          <w:szCs w:val="22"/>
        </w:rPr>
        <w:t>t</w:t>
      </w:r>
      <w:r w:rsidR="00E24A1B" w:rsidRPr="00E80661">
        <w:rPr>
          <w:szCs w:val="22"/>
        </w:rPr>
        <w:t>he need for the Commission to adopt a common methodology to measure food waste;</w:t>
      </w:r>
    </w:p>
    <w:p w14:paraId="5C55BD82" w14:textId="3C5B52D6" w:rsidR="00E24A1B" w:rsidRPr="00E80661" w:rsidRDefault="00177055" w:rsidP="00684760">
      <w:pPr>
        <w:numPr>
          <w:ilvl w:val="0"/>
          <w:numId w:val="36"/>
        </w:numPr>
        <w:ind w:left="714" w:hanging="357"/>
        <w:rPr>
          <w:i/>
        </w:rPr>
      </w:pPr>
      <w:r w:rsidRPr="00E80661">
        <w:rPr>
          <w:szCs w:val="22"/>
        </w:rPr>
        <w:t>t</w:t>
      </w:r>
      <w:r w:rsidR="00E24A1B" w:rsidRPr="00E80661">
        <w:rPr>
          <w:szCs w:val="22"/>
        </w:rPr>
        <w:t>he importance of improving consumers' understanding of expiration date labels (</w:t>
      </w:r>
      <w:r w:rsidR="008A480A" w:rsidRPr="00E80661">
        <w:rPr>
          <w:szCs w:val="22"/>
        </w:rPr>
        <w:t>"</w:t>
      </w:r>
      <w:r w:rsidR="00E24A1B" w:rsidRPr="00E80661">
        <w:rPr>
          <w:szCs w:val="22"/>
        </w:rPr>
        <w:t>use by</w:t>
      </w:r>
      <w:r w:rsidR="008A480A" w:rsidRPr="00E80661">
        <w:rPr>
          <w:szCs w:val="22"/>
        </w:rPr>
        <w:t>"</w:t>
      </w:r>
      <w:r w:rsidR="00E24A1B" w:rsidRPr="00E80661">
        <w:rPr>
          <w:szCs w:val="22"/>
        </w:rPr>
        <w:t xml:space="preserve"> and </w:t>
      </w:r>
      <w:r w:rsidR="008A480A" w:rsidRPr="00E80661">
        <w:rPr>
          <w:szCs w:val="22"/>
        </w:rPr>
        <w:t>"</w:t>
      </w:r>
      <w:r w:rsidR="00E24A1B" w:rsidRPr="00E80661">
        <w:rPr>
          <w:szCs w:val="22"/>
        </w:rPr>
        <w:t>best before</w:t>
      </w:r>
      <w:r w:rsidR="008A480A" w:rsidRPr="00E80661">
        <w:rPr>
          <w:szCs w:val="22"/>
        </w:rPr>
        <w:t>"</w:t>
      </w:r>
      <w:r w:rsidR="00E24A1B" w:rsidRPr="00E80661">
        <w:rPr>
          <w:szCs w:val="22"/>
        </w:rPr>
        <w:t>) in order to reduce food waste;</w:t>
      </w:r>
    </w:p>
    <w:p w14:paraId="5C55BD83" w14:textId="2E35A76B" w:rsidR="00E24A1B" w:rsidRPr="00E80661" w:rsidRDefault="00177055" w:rsidP="00684760">
      <w:pPr>
        <w:numPr>
          <w:ilvl w:val="0"/>
          <w:numId w:val="36"/>
        </w:numPr>
        <w:ind w:left="714" w:hanging="357"/>
        <w:rPr>
          <w:i/>
        </w:rPr>
      </w:pPr>
      <w:r w:rsidRPr="00E80661">
        <w:rPr>
          <w:szCs w:val="22"/>
        </w:rPr>
        <w:t>t</w:t>
      </w:r>
      <w:r w:rsidR="00E24A1B" w:rsidRPr="00E80661">
        <w:rPr>
          <w:szCs w:val="22"/>
        </w:rPr>
        <w:t>he promotion of consumers understanding of food waste;</w:t>
      </w:r>
    </w:p>
    <w:p w14:paraId="0A813E4C" w14:textId="417A5147" w:rsidR="000F31AD" w:rsidRPr="00E80661" w:rsidRDefault="00177055" w:rsidP="000F31AD">
      <w:pPr>
        <w:numPr>
          <w:ilvl w:val="0"/>
          <w:numId w:val="36"/>
        </w:numPr>
        <w:ind w:left="714" w:hanging="357"/>
        <w:rPr>
          <w:i/>
        </w:rPr>
      </w:pPr>
      <w:r w:rsidRPr="00E80661">
        <w:rPr>
          <w:szCs w:val="22"/>
        </w:rPr>
        <w:t>t</w:t>
      </w:r>
      <w:r w:rsidR="00E24A1B" w:rsidRPr="00E80661">
        <w:rPr>
          <w:szCs w:val="22"/>
        </w:rPr>
        <w:t>he need to promote and allow donations of unsold food</w:t>
      </w:r>
      <w:r w:rsidRPr="00E80661">
        <w:rPr>
          <w:szCs w:val="22"/>
        </w:rPr>
        <w:t>.</w:t>
      </w:r>
    </w:p>
    <w:p w14:paraId="35CEC7EA" w14:textId="77777777" w:rsidR="00684760" w:rsidRPr="00E80661" w:rsidRDefault="00684760" w:rsidP="00684760">
      <w:pPr>
        <w:ind w:left="714"/>
        <w:rPr>
          <w:i/>
        </w:rPr>
      </w:pPr>
    </w:p>
    <w:p w14:paraId="5C55BD86" w14:textId="77777777" w:rsidR="00E24A1B" w:rsidRPr="00E80661" w:rsidRDefault="00E24A1B" w:rsidP="00C9059D">
      <w:pPr>
        <w:pStyle w:val="Heading2"/>
        <w:rPr>
          <w:b/>
        </w:rPr>
      </w:pPr>
      <w:bookmarkStart w:id="97" w:name="_Toc486243293"/>
      <w:bookmarkStart w:id="98" w:name="_Toc485373845"/>
      <w:bookmarkEnd w:id="96"/>
      <w:r w:rsidRPr="00E80661">
        <w:rPr>
          <w:b/>
        </w:rPr>
        <w:t>Rural policies</w:t>
      </w:r>
      <w:bookmarkEnd w:id="97"/>
      <w:bookmarkEnd w:id="98"/>
    </w:p>
    <w:p w14:paraId="5C55BD88" w14:textId="77777777" w:rsidR="00C9059D" w:rsidRPr="00E80661" w:rsidRDefault="00C9059D" w:rsidP="00C9059D">
      <w:pPr>
        <w:rPr>
          <w:szCs w:val="22"/>
        </w:rPr>
      </w:pPr>
    </w:p>
    <w:p w14:paraId="5C55BD89" w14:textId="6A59D1F6" w:rsidR="00E06E55" w:rsidRPr="00E80661" w:rsidRDefault="00E06E55" w:rsidP="00C9059D">
      <w:pPr>
        <w:rPr>
          <w:szCs w:val="22"/>
        </w:rPr>
      </w:pPr>
      <w:r w:rsidRPr="00E80661">
        <w:rPr>
          <w:szCs w:val="22"/>
        </w:rPr>
        <w:t xml:space="preserve">The contribution of the CoR opinion on </w:t>
      </w:r>
      <w:r w:rsidRPr="00E80661">
        <w:rPr>
          <w:b/>
          <w:szCs w:val="22"/>
        </w:rPr>
        <w:t>Innovation and moderni</w:t>
      </w:r>
      <w:r w:rsidR="008A480A" w:rsidRPr="00E80661">
        <w:rPr>
          <w:b/>
          <w:szCs w:val="22"/>
        </w:rPr>
        <w:t>s</w:t>
      </w:r>
      <w:r w:rsidRPr="00E80661">
        <w:rPr>
          <w:b/>
          <w:szCs w:val="22"/>
        </w:rPr>
        <w:t>ation of rural economy</w:t>
      </w:r>
      <w:r w:rsidRPr="00644601">
        <w:rPr>
          <w:rStyle w:val="FootnoteReference"/>
          <w:b/>
        </w:rPr>
        <w:footnoteReference w:id="85"/>
      </w:r>
      <w:r w:rsidRPr="00E80661">
        <w:rPr>
          <w:b/>
          <w:szCs w:val="22"/>
        </w:rPr>
        <w:t xml:space="preserve"> </w:t>
      </w:r>
      <w:r w:rsidRPr="00E80661">
        <w:rPr>
          <w:szCs w:val="22"/>
        </w:rPr>
        <w:t xml:space="preserve">has been clearly mentioned in the new Cork 2.0 </w:t>
      </w:r>
      <w:r w:rsidR="008A480A" w:rsidRPr="00E80661">
        <w:rPr>
          <w:szCs w:val="22"/>
        </w:rPr>
        <w:t>D</w:t>
      </w:r>
      <w:r w:rsidRPr="00E80661">
        <w:rPr>
          <w:szCs w:val="22"/>
        </w:rPr>
        <w:t>eclaration</w:t>
      </w:r>
      <w:r w:rsidRPr="00E80661">
        <w:rPr>
          <w:rStyle w:val="FootnoteReference"/>
          <w:sz w:val="22"/>
        </w:rPr>
        <w:footnoteReference w:id="86"/>
      </w:r>
      <w:r w:rsidRPr="00E80661">
        <w:rPr>
          <w:szCs w:val="22"/>
        </w:rPr>
        <w:t>, adopted at the European Rural Development Conference in September 2016.</w:t>
      </w:r>
    </w:p>
    <w:p w14:paraId="5C55BD8A" w14:textId="77777777" w:rsidR="00E06E55" w:rsidRPr="00E80661" w:rsidRDefault="00E06E55" w:rsidP="00C9059D">
      <w:pPr>
        <w:rPr>
          <w:szCs w:val="22"/>
        </w:rPr>
      </w:pPr>
    </w:p>
    <w:p w14:paraId="5C55BD8B" w14:textId="7A1B50FD" w:rsidR="00E24A1B" w:rsidRPr="00E80661" w:rsidRDefault="00E24A1B" w:rsidP="00C9059D">
      <w:pPr>
        <w:rPr>
          <w:szCs w:val="22"/>
        </w:rPr>
      </w:pPr>
      <w:r w:rsidRPr="00E80661">
        <w:rPr>
          <w:szCs w:val="22"/>
        </w:rPr>
        <w:t xml:space="preserve">One of the main proposals of the opinion, the call for a White Paper on the rural agenda, </w:t>
      </w:r>
      <w:r w:rsidR="009D26E8" w:rsidRPr="00E80661">
        <w:rPr>
          <w:szCs w:val="22"/>
        </w:rPr>
        <w:t>earned</w:t>
      </w:r>
      <w:r w:rsidRPr="00E80661">
        <w:rPr>
          <w:szCs w:val="22"/>
        </w:rPr>
        <w:t xml:space="preserve"> the support of the European Parliament'</w:t>
      </w:r>
      <w:r w:rsidR="009D26E8" w:rsidRPr="00E80661">
        <w:rPr>
          <w:szCs w:val="22"/>
        </w:rPr>
        <w:t>s</w:t>
      </w:r>
      <w:r w:rsidRPr="00E80661">
        <w:rPr>
          <w:szCs w:val="22"/>
        </w:rPr>
        <w:t xml:space="preserve"> AGRI </w:t>
      </w:r>
      <w:r w:rsidR="009D26E8" w:rsidRPr="00E80661">
        <w:rPr>
          <w:szCs w:val="22"/>
        </w:rPr>
        <w:t>C</w:t>
      </w:r>
      <w:r w:rsidRPr="00E80661">
        <w:rPr>
          <w:szCs w:val="22"/>
        </w:rPr>
        <w:t>ommittee, following a joint meeting with the CoR</w:t>
      </w:r>
      <w:r w:rsidR="009D26E8" w:rsidRPr="00E80661">
        <w:rPr>
          <w:szCs w:val="22"/>
        </w:rPr>
        <w:t>'s</w:t>
      </w:r>
      <w:r w:rsidRPr="00E80661">
        <w:rPr>
          <w:szCs w:val="22"/>
        </w:rPr>
        <w:t xml:space="preserve"> NAT commission held in November 2016.</w:t>
      </w:r>
    </w:p>
    <w:p w14:paraId="5C55BD8C" w14:textId="77777777" w:rsidR="00E24A1B" w:rsidRPr="00E80661" w:rsidRDefault="00E24A1B" w:rsidP="00E24A1B">
      <w:pPr>
        <w:rPr>
          <w:szCs w:val="22"/>
        </w:rPr>
      </w:pPr>
      <w:r w:rsidRPr="00E80661">
        <w:rPr>
          <w:szCs w:val="22"/>
        </w:rPr>
        <w:t> </w:t>
      </w:r>
    </w:p>
    <w:p w14:paraId="5C55BD8D" w14:textId="42B47464" w:rsidR="00E24A1B" w:rsidRPr="00E80661" w:rsidRDefault="00E24A1B" w:rsidP="00E24A1B">
      <w:pPr>
        <w:rPr>
          <w:szCs w:val="22"/>
        </w:rPr>
      </w:pPr>
      <w:r w:rsidRPr="00E80661">
        <w:rPr>
          <w:szCs w:val="22"/>
        </w:rPr>
        <w:t xml:space="preserve">The opinion recommendations with regard to the EU budget dedicated to rural areas have influenced the ongoing debate in the European Commission (CoR presentation in the meeting of the civil dialogue group meeting). In line with the CoR message, Commissioner Hogan has clearly expressed himself </w:t>
      </w:r>
      <w:r w:rsidR="009D26E8" w:rsidRPr="00E80661">
        <w:rPr>
          <w:szCs w:val="22"/>
        </w:rPr>
        <w:t xml:space="preserve">to be </w:t>
      </w:r>
      <w:r w:rsidRPr="00E80661">
        <w:rPr>
          <w:szCs w:val="22"/>
        </w:rPr>
        <w:t xml:space="preserve">in favour of rebalancing the first and the second pillar of </w:t>
      </w:r>
      <w:r w:rsidR="00D36ED2">
        <w:rPr>
          <w:szCs w:val="22"/>
        </w:rPr>
        <w:t xml:space="preserve">the </w:t>
      </w:r>
      <w:r w:rsidRPr="00E80661">
        <w:rPr>
          <w:szCs w:val="22"/>
        </w:rPr>
        <w:t>CAP.</w:t>
      </w:r>
    </w:p>
    <w:p w14:paraId="5C55BD8F" w14:textId="3719EE59" w:rsidR="00E24A1B" w:rsidRPr="00E80661" w:rsidRDefault="00E24A1B" w:rsidP="00177055">
      <w:pPr>
        <w:spacing w:before="200"/>
      </w:pPr>
      <w:r w:rsidRPr="00E80661">
        <w:rPr>
          <w:szCs w:val="22"/>
        </w:rPr>
        <w:t xml:space="preserve">With regard to the CoR </w:t>
      </w:r>
      <w:r w:rsidRPr="00E80661">
        <w:t xml:space="preserve">opinion on </w:t>
      </w:r>
      <w:r w:rsidR="00A04897" w:rsidRPr="00E80661">
        <w:rPr>
          <w:b/>
        </w:rPr>
        <w:t>The f</w:t>
      </w:r>
      <w:r w:rsidRPr="00E80661">
        <w:rPr>
          <w:b/>
        </w:rPr>
        <w:t>uture of the dairy sector</w:t>
      </w:r>
      <w:r w:rsidRPr="00644601">
        <w:rPr>
          <w:b/>
        </w:rPr>
        <w:footnoteReference w:id="87"/>
      </w:r>
      <w:r w:rsidRPr="00E80661">
        <w:t xml:space="preserve">, </w:t>
      </w:r>
      <w:r w:rsidRPr="00E80661">
        <w:rPr>
          <w:szCs w:val="22"/>
        </w:rPr>
        <w:t>the European Commission decided in July 2016 to put in place the Milk Production</w:t>
      </w:r>
      <w:r w:rsidRPr="00E80661">
        <w:t xml:space="preserve"> Reduction Scheme, fulfilling a major </w:t>
      </w:r>
      <w:r w:rsidR="00E80661" w:rsidRPr="00E80661">
        <w:t>recommendation</w:t>
      </w:r>
      <w:r w:rsidRPr="00E80661">
        <w:t xml:space="preserve"> </w:t>
      </w:r>
      <w:r w:rsidR="009D32AD" w:rsidRPr="00E80661">
        <w:t xml:space="preserve">set out in </w:t>
      </w:r>
      <w:r w:rsidRPr="00E80661">
        <w:t xml:space="preserve">the opinion. </w:t>
      </w:r>
    </w:p>
    <w:p w14:paraId="3B9A4578" w14:textId="77777777" w:rsidR="007D7FCB" w:rsidRPr="00E80661" w:rsidRDefault="007D7FCB" w:rsidP="00E24A1B"/>
    <w:p w14:paraId="5C55BD90" w14:textId="4EEE165C" w:rsidR="00E24A1B" w:rsidRPr="00E80661" w:rsidRDefault="00E24A1B" w:rsidP="00E24A1B">
      <w:pPr>
        <w:rPr>
          <w:szCs w:val="22"/>
        </w:rPr>
      </w:pPr>
      <w:r w:rsidRPr="00E80661">
        <w:t xml:space="preserve">The </w:t>
      </w:r>
      <w:r w:rsidR="00C87E3E" w:rsidRPr="00E80661">
        <w:t xml:space="preserve">EUR </w:t>
      </w:r>
      <w:r w:rsidRPr="00E80661">
        <w:t xml:space="preserve">150 million Milk Production Reduction Scheme produced encouraging results and </w:t>
      </w:r>
      <w:r w:rsidR="00331F66">
        <w:t>was</w:t>
      </w:r>
      <w:r w:rsidRPr="00E80661">
        <w:t xml:space="preserve"> almost fully subscribed by </w:t>
      </w:r>
      <w:r w:rsidR="00331F66">
        <w:t xml:space="preserve">the </w:t>
      </w:r>
      <w:r w:rsidRPr="00E80661">
        <w:t>end of 2016.</w:t>
      </w:r>
    </w:p>
    <w:p w14:paraId="06C7AEC0" w14:textId="22F9F1D3" w:rsidR="00684760" w:rsidRPr="00E80661" w:rsidRDefault="00684760" w:rsidP="00707FB6">
      <w:pPr>
        <w:rPr>
          <w:szCs w:val="22"/>
        </w:rPr>
      </w:pPr>
    </w:p>
    <w:p w14:paraId="5C55BD93" w14:textId="1EDCA024" w:rsidR="00707FB6" w:rsidRPr="00E80661" w:rsidRDefault="00707FB6" w:rsidP="00707FB6">
      <w:pPr>
        <w:numPr>
          <w:ilvl w:val="1"/>
          <w:numId w:val="1"/>
        </w:numPr>
        <w:outlineLvl w:val="1"/>
        <w:rPr>
          <w:b/>
          <w:szCs w:val="22"/>
        </w:rPr>
      </w:pPr>
      <w:r w:rsidRPr="00E80661">
        <w:rPr>
          <w:b/>
          <w:szCs w:val="22"/>
        </w:rPr>
        <w:t xml:space="preserve"> </w:t>
      </w:r>
      <w:bookmarkStart w:id="99" w:name="_Toc486243294"/>
      <w:r w:rsidR="00A9103B" w:rsidRPr="00E80661">
        <w:rPr>
          <w:b/>
          <w:szCs w:val="22"/>
        </w:rPr>
        <w:t>D</w:t>
      </w:r>
      <w:r w:rsidR="00FE10FE" w:rsidRPr="00E80661">
        <w:rPr>
          <w:b/>
          <w:szCs w:val="22"/>
        </w:rPr>
        <w:t>isaster risk reduction</w:t>
      </w:r>
      <w:bookmarkEnd w:id="99"/>
    </w:p>
    <w:p w14:paraId="33E2003D" w14:textId="77777777" w:rsidR="00FE10FE" w:rsidRPr="00E80661" w:rsidRDefault="00FE10FE" w:rsidP="00FE10FE">
      <w:pPr>
        <w:outlineLvl w:val="1"/>
        <w:rPr>
          <w:b/>
          <w:szCs w:val="22"/>
        </w:rPr>
      </w:pPr>
    </w:p>
    <w:p w14:paraId="1DF683A6" w14:textId="6E61F30E" w:rsidR="00A9103B" w:rsidRPr="00E80661" w:rsidRDefault="00A9103B" w:rsidP="00FE10FE">
      <w:r w:rsidRPr="00E80661">
        <w:t>The CoR opinion on</w:t>
      </w:r>
      <w:r w:rsidR="00C87E3E" w:rsidRPr="00E80661">
        <w:t xml:space="preserve"> the</w:t>
      </w:r>
      <w:r w:rsidRPr="00E80661">
        <w:t xml:space="preserve"> </w:t>
      </w:r>
      <w:r w:rsidR="00FE10FE" w:rsidRPr="00E80661">
        <w:rPr>
          <w:b/>
        </w:rPr>
        <w:t xml:space="preserve">Post </w:t>
      </w:r>
      <w:r w:rsidRPr="00E80661">
        <w:rPr>
          <w:b/>
        </w:rPr>
        <w:t>2015 Hyogo Framework for Action</w:t>
      </w:r>
      <w:r w:rsidRPr="00E80661">
        <w:rPr>
          <w:rStyle w:val="FootnoteReference"/>
          <w:b/>
        </w:rPr>
        <w:footnoteReference w:id="88"/>
      </w:r>
      <w:r w:rsidR="00FE10FE" w:rsidRPr="00E80661">
        <w:t xml:space="preserve"> provided </w:t>
      </w:r>
      <w:r w:rsidR="00C87E3E" w:rsidRPr="00E80661">
        <w:t xml:space="preserve">a </w:t>
      </w:r>
      <w:r w:rsidR="00FE10FE" w:rsidRPr="00E80661">
        <w:t xml:space="preserve">solid basis for the signing of a five-year Action Plan between the United Nations Office for Disaster Risk Reduction and the CoR in October 2016. Its goal is </w:t>
      </w:r>
      <w:r w:rsidR="00C87E3E" w:rsidRPr="00E80661">
        <w:t xml:space="preserve">to </w:t>
      </w:r>
      <w:r w:rsidR="00FE10FE" w:rsidRPr="00E80661">
        <w:t xml:space="preserve">support EU cities and regions </w:t>
      </w:r>
      <w:r w:rsidR="00154B71" w:rsidRPr="00E80661">
        <w:t xml:space="preserve">in </w:t>
      </w:r>
      <w:r w:rsidR="00FE10FE" w:rsidRPr="00E80661">
        <w:t>tak</w:t>
      </w:r>
      <w:r w:rsidR="00154B71" w:rsidRPr="00E80661">
        <w:t>ing</w:t>
      </w:r>
      <w:r w:rsidR="00FE10FE" w:rsidRPr="00E80661">
        <w:t xml:space="preserve"> more concerted action </w:t>
      </w:r>
      <w:r w:rsidR="00154B71" w:rsidRPr="00E80661">
        <w:t xml:space="preserve">to </w:t>
      </w:r>
      <w:r w:rsidR="00FE10FE" w:rsidRPr="00E80661">
        <w:t>reduc</w:t>
      </w:r>
      <w:r w:rsidR="00154B71" w:rsidRPr="00E80661">
        <w:t>e</w:t>
      </w:r>
      <w:r w:rsidR="00FE10FE" w:rsidRPr="00E80661">
        <w:t xml:space="preserve"> the impact of natural disasters. Both institutions committed themselves to work</w:t>
      </w:r>
      <w:r w:rsidR="00154B71" w:rsidRPr="00E80661">
        <w:t>ing</w:t>
      </w:r>
      <w:r w:rsidR="00FE10FE" w:rsidRPr="00E80661">
        <w:t xml:space="preserve"> closely</w:t>
      </w:r>
      <w:r w:rsidR="00154B71" w:rsidRPr="00E80661">
        <w:t xml:space="preserve"> together</w:t>
      </w:r>
      <w:r w:rsidR="00FE10FE" w:rsidRPr="00E80661">
        <w:t xml:space="preserve"> and </w:t>
      </w:r>
      <w:r w:rsidR="00154B71" w:rsidRPr="00E80661">
        <w:t xml:space="preserve">to jointly </w:t>
      </w:r>
      <w:r w:rsidR="00FE10FE" w:rsidRPr="00E80661">
        <w:t>organis</w:t>
      </w:r>
      <w:r w:rsidR="00154B71" w:rsidRPr="00E80661">
        <w:t>ing</w:t>
      </w:r>
      <w:r w:rsidR="00FE10FE" w:rsidRPr="00E80661">
        <w:t xml:space="preserve"> an annual event </w:t>
      </w:r>
      <w:r w:rsidR="000B40A5">
        <w:t>to mark</w:t>
      </w:r>
      <w:r w:rsidR="00FE10FE" w:rsidRPr="00E80661">
        <w:t xml:space="preserve"> the International Day for Disaster Risk Reduction. </w:t>
      </w:r>
    </w:p>
    <w:p w14:paraId="4D4BD350" w14:textId="77777777" w:rsidR="00A9103B" w:rsidRPr="00E80661" w:rsidRDefault="00A9103B" w:rsidP="00FE10FE"/>
    <w:p w14:paraId="1B811104" w14:textId="3EB64098" w:rsidR="00FE10FE" w:rsidRPr="00E80661" w:rsidRDefault="00FE10FE" w:rsidP="00A9103B">
      <w:r w:rsidRPr="00E80661">
        <w:t>The key messages from the CoR opinion were reflected in the Commission Action Plan</w:t>
      </w:r>
      <w:r w:rsidR="00A9103B" w:rsidRPr="00E80661">
        <w:rPr>
          <w:rStyle w:val="FootnoteReference"/>
        </w:rPr>
        <w:footnoteReference w:id="89"/>
      </w:r>
      <w:r w:rsidRPr="00E80661">
        <w:t xml:space="preserve"> and explicit reference was made to the role of local authorities. Under the action plan, the CoR also participated in preparations </w:t>
      </w:r>
      <w:r w:rsidR="00154B71" w:rsidRPr="00E80661">
        <w:t>leading up to</w:t>
      </w:r>
      <w:r w:rsidRPr="00E80661">
        <w:t xml:space="preserve"> the European Forum for Disaster Risk Reduction held in Istanbul, Turkey and at the Global Platform for Disaster Risk Re</w:t>
      </w:r>
      <w:r w:rsidR="00A9103B" w:rsidRPr="00E80661">
        <w:t>duction held in Cancun, Mexico.</w:t>
      </w:r>
    </w:p>
    <w:p w14:paraId="4AF10607" w14:textId="77777777" w:rsidR="00FE10FE" w:rsidRPr="00E80661" w:rsidRDefault="00FE10FE" w:rsidP="00FE10FE">
      <w:pPr>
        <w:outlineLvl w:val="1"/>
        <w:rPr>
          <w:b/>
          <w:szCs w:val="22"/>
        </w:rPr>
      </w:pPr>
    </w:p>
    <w:p w14:paraId="0F0F2027" w14:textId="5251269F" w:rsidR="00FE10FE" w:rsidRPr="00E80661" w:rsidRDefault="00FE10FE" w:rsidP="00707FB6">
      <w:pPr>
        <w:numPr>
          <w:ilvl w:val="1"/>
          <w:numId w:val="1"/>
        </w:numPr>
        <w:outlineLvl w:val="1"/>
        <w:rPr>
          <w:b/>
          <w:szCs w:val="22"/>
        </w:rPr>
      </w:pPr>
      <w:bookmarkStart w:id="100" w:name="_Toc486243295"/>
      <w:bookmarkStart w:id="101" w:name="_Toc478112427"/>
      <w:bookmarkStart w:id="102" w:name="_Toc485373846"/>
      <w:r w:rsidRPr="00E80661">
        <w:rPr>
          <w:b/>
          <w:szCs w:val="22"/>
        </w:rPr>
        <w:t>Future of European aquaculture</w:t>
      </w:r>
      <w:bookmarkEnd w:id="100"/>
      <w:bookmarkEnd w:id="101"/>
      <w:bookmarkEnd w:id="102"/>
    </w:p>
    <w:p w14:paraId="5C55BD94" w14:textId="77777777" w:rsidR="00707FB6" w:rsidRPr="00E80661" w:rsidRDefault="00707FB6" w:rsidP="00707FB6"/>
    <w:p w14:paraId="5C55BD95" w14:textId="77777777" w:rsidR="00E24A1B" w:rsidRPr="00E80661" w:rsidRDefault="00E24A1B" w:rsidP="00E24A1B">
      <w:pPr>
        <w:rPr>
          <w:szCs w:val="22"/>
        </w:rPr>
      </w:pPr>
      <w:r w:rsidRPr="00E80661">
        <w:rPr>
          <w:szCs w:val="22"/>
        </w:rPr>
        <w:t xml:space="preserve">As recommended in the opinion on </w:t>
      </w:r>
      <w:r w:rsidRPr="00E80661">
        <w:rPr>
          <w:b/>
          <w:szCs w:val="22"/>
        </w:rPr>
        <w:t>The future of European aquaculture</w:t>
      </w:r>
      <w:r w:rsidRPr="00644601">
        <w:rPr>
          <w:rStyle w:val="FootnoteReference"/>
          <w:b/>
        </w:rPr>
        <w:footnoteReference w:id="90"/>
      </w:r>
      <w:r w:rsidRPr="00E80661">
        <w:rPr>
          <w:szCs w:val="22"/>
        </w:rPr>
        <w:t>, the European Commission:</w:t>
      </w:r>
    </w:p>
    <w:p w14:paraId="5C55BD96" w14:textId="4AF9D139" w:rsidR="00E24A1B" w:rsidRPr="00E80661" w:rsidRDefault="00E24A1B" w:rsidP="00644601">
      <w:pPr>
        <w:pStyle w:val="ListParagraph"/>
        <w:numPr>
          <w:ilvl w:val="0"/>
          <w:numId w:val="55"/>
        </w:numPr>
        <w:rPr>
          <w:szCs w:val="22"/>
        </w:rPr>
      </w:pPr>
      <w:r w:rsidRPr="00E80661">
        <w:rPr>
          <w:szCs w:val="22"/>
        </w:rPr>
        <w:t xml:space="preserve">introduced certain promotional and </w:t>
      </w:r>
      <w:r w:rsidR="00E80661" w:rsidRPr="00E80661">
        <w:rPr>
          <w:szCs w:val="22"/>
        </w:rPr>
        <w:t>labelling</w:t>
      </w:r>
      <w:r w:rsidRPr="00E80661">
        <w:rPr>
          <w:szCs w:val="22"/>
        </w:rPr>
        <w:t xml:space="preserve"> measures for aquaculture products</w:t>
      </w:r>
      <w:r w:rsidR="00177055" w:rsidRPr="00E80661">
        <w:rPr>
          <w:szCs w:val="22"/>
        </w:rPr>
        <w:t>;</w:t>
      </w:r>
      <w:r w:rsidRPr="00E80661">
        <w:rPr>
          <w:szCs w:val="22"/>
        </w:rPr>
        <w:t xml:space="preserve"> </w:t>
      </w:r>
    </w:p>
    <w:p w14:paraId="5C55BD97" w14:textId="763CE416" w:rsidR="00E24A1B" w:rsidRPr="00E80661" w:rsidRDefault="00E24A1B" w:rsidP="00644601">
      <w:pPr>
        <w:pStyle w:val="ListParagraph"/>
        <w:numPr>
          <w:ilvl w:val="0"/>
          <w:numId w:val="55"/>
        </w:numPr>
        <w:rPr>
          <w:szCs w:val="22"/>
        </w:rPr>
      </w:pPr>
      <w:r w:rsidRPr="00E80661">
        <w:rPr>
          <w:szCs w:val="22"/>
        </w:rPr>
        <w:t xml:space="preserve">the #FARMEDintheEU aquaculture campaign launched in 2016 was particularly successful in Spain, where the Commission joined in the annual celebrations of "Día de la Acuicultura" supporting the "Say yes to sustainable aquaculture" competition launched by the Spanish </w:t>
      </w:r>
      <w:r w:rsidR="00E80661" w:rsidRPr="00E80661">
        <w:rPr>
          <w:szCs w:val="22"/>
        </w:rPr>
        <w:t>Observatory</w:t>
      </w:r>
      <w:r w:rsidRPr="00E80661">
        <w:rPr>
          <w:szCs w:val="22"/>
        </w:rPr>
        <w:t xml:space="preserve"> for Aquaculture. As part of the campaign, the "FARMED in the EU" </w:t>
      </w:r>
      <w:r w:rsidR="00E80661" w:rsidRPr="00E80661">
        <w:rPr>
          <w:szCs w:val="22"/>
        </w:rPr>
        <w:t>school kit</w:t>
      </w:r>
      <w:r w:rsidRPr="00E80661">
        <w:rPr>
          <w:szCs w:val="22"/>
        </w:rPr>
        <w:t xml:space="preserve"> developed by the European Commission was promoted </w:t>
      </w:r>
      <w:r w:rsidR="00B92657" w:rsidRPr="00E80661">
        <w:rPr>
          <w:szCs w:val="22"/>
        </w:rPr>
        <w:t xml:space="preserve">at </w:t>
      </w:r>
      <w:r w:rsidRPr="00E80661">
        <w:rPr>
          <w:szCs w:val="22"/>
        </w:rPr>
        <w:t>hundreds of schools across the country.</w:t>
      </w:r>
    </w:p>
    <w:p w14:paraId="5C55BD99" w14:textId="77777777" w:rsidR="00707FB6" w:rsidRPr="00E80661" w:rsidRDefault="00707FB6" w:rsidP="00707FB6">
      <w:pPr>
        <w:rPr>
          <w:szCs w:val="22"/>
        </w:rPr>
      </w:pPr>
    </w:p>
    <w:p w14:paraId="14231D4B" w14:textId="77777777" w:rsidR="000B6871" w:rsidRPr="00E80661" w:rsidRDefault="000B6871" w:rsidP="00707FB6">
      <w:pPr>
        <w:rPr>
          <w:szCs w:val="22"/>
        </w:rPr>
      </w:pPr>
    </w:p>
    <w:p w14:paraId="36E3A3AC" w14:textId="769E49F2" w:rsidR="00ED4E70" w:rsidRPr="00644601" w:rsidRDefault="00707FB6" w:rsidP="00707FB6">
      <w:pPr>
        <w:numPr>
          <w:ilvl w:val="0"/>
          <w:numId w:val="1"/>
        </w:numPr>
        <w:outlineLvl w:val="0"/>
        <w:rPr>
          <w:b/>
          <w:kern w:val="28"/>
        </w:rPr>
      </w:pPr>
      <w:r w:rsidRPr="00644601">
        <w:rPr>
          <w:b/>
          <w:kern w:val="28"/>
        </w:rPr>
        <w:t xml:space="preserve"> </w:t>
      </w:r>
      <w:bookmarkStart w:id="103" w:name="_Toc486243296"/>
      <w:bookmarkStart w:id="104" w:name="_Toc485373847"/>
      <w:bookmarkStart w:id="105" w:name="_Toc478112428"/>
      <w:r w:rsidR="00FA6F09" w:rsidRPr="00644601">
        <w:rPr>
          <w:b/>
          <w:kern w:val="28"/>
        </w:rPr>
        <w:t>Bette</w:t>
      </w:r>
      <w:r w:rsidR="00ED4E70" w:rsidRPr="00644601">
        <w:rPr>
          <w:b/>
          <w:kern w:val="28"/>
        </w:rPr>
        <w:t>r regulation, subsidiarity and proportionality</w:t>
      </w:r>
      <w:bookmarkEnd w:id="103"/>
      <w:bookmarkEnd w:id="104"/>
    </w:p>
    <w:p w14:paraId="082FF46D" w14:textId="77777777" w:rsidR="00ED4E70" w:rsidRPr="00644601" w:rsidRDefault="00ED4E70" w:rsidP="00ED4E70">
      <w:pPr>
        <w:outlineLvl w:val="0"/>
        <w:rPr>
          <w:b/>
          <w:kern w:val="28"/>
        </w:rPr>
      </w:pPr>
    </w:p>
    <w:p w14:paraId="1C3C0DD1" w14:textId="19070E24" w:rsidR="00ED4E70" w:rsidRPr="00E80661" w:rsidRDefault="00ED4E70" w:rsidP="00ED4E70">
      <w:r w:rsidRPr="00E80661">
        <w:t xml:space="preserve">The EP </w:t>
      </w:r>
      <w:r w:rsidR="00064E6C" w:rsidRPr="00E80661">
        <w:t>R</w:t>
      </w:r>
      <w:r w:rsidRPr="00E80661">
        <w:t>esolution on the Annual Report 2014 on subsidiarity and proportionality</w:t>
      </w:r>
      <w:r w:rsidRPr="00E80661">
        <w:rPr>
          <w:rStyle w:val="FootnoteReference"/>
        </w:rPr>
        <w:footnoteReference w:id="91"/>
      </w:r>
      <w:r w:rsidRPr="00E80661">
        <w:t xml:space="preserve"> adopted in May 2017 </w:t>
      </w:r>
      <w:r w:rsidR="00FA6F09" w:rsidRPr="00E80661">
        <w:t>acknowledges the CoR's Annual Subsidiarity Report for 2014 and makes recommendations that are in line with the views of the CoR:</w:t>
      </w:r>
    </w:p>
    <w:p w14:paraId="46EACA64" w14:textId="77777777" w:rsidR="00ED4E70" w:rsidRPr="00E80661" w:rsidRDefault="00ED4E70" w:rsidP="00ED4E70">
      <w:r w:rsidRPr="00E80661">
        <w:t> </w:t>
      </w:r>
    </w:p>
    <w:p w14:paraId="38633266" w14:textId="48091978" w:rsidR="00ED4E70" w:rsidRPr="00E80661" w:rsidRDefault="00ED4E70" w:rsidP="00644601">
      <w:pPr>
        <w:pStyle w:val="ListParagraph"/>
        <w:numPr>
          <w:ilvl w:val="0"/>
          <w:numId w:val="63"/>
        </w:numPr>
      </w:pPr>
      <w:r w:rsidRPr="00E80661">
        <w:t>the Commission, the Council and Parliament should pay due consideration to the assessments of compliance with the subsidiarity and proportionality principles made by the Committee of the Regions when the latter issues opinions on legislative proposals;</w:t>
      </w:r>
    </w:p>
    <w:p w14:paraId="701A8C0D" w14:textId="6E360E7B" w:rsidR="00ED4E70" w:rsidRPr="00E80661" w:rsidRDefault="00ED4E70" w:rsidP="00644601">
      <w:pPr>
        <w:pStyle w:val="ListParagraph"/>
        <w:numPr>
          <w:ilvl w:val="0"/>
          <w:numId w:val="63"/>
        </w:numPr>
      </w:pPr>
      <w:r w:rsidRPr="00E80661">
        <w:t>the EP notes a concern of some national parliaments that in certain Commission legislative proposals the justification of subsidiarity and proportionality is incomplete or indeed non-existent; calls on the Commission to improve its explanatory statements by always providing a detailed, comprehensive and factually substantiated analysis of its proposals in terms of subsidiarity and proportionality</w:t>
      </w:r>
      <w:r w:rsidRPr="00E80661">
        <w:rPr>
          <w:rStyle w:val="FootnoteReference"/>
        </w:rPr>
        <w:footnoteReference w:id="92"/>
      </w:r>
      <w:r w:rsidR="00D24E04" w:rsidRPr="00E80661">
        <w:t>;</w:t>
      </w:r>
      <w:r w:rsidRPr="00E80661">
        <w:t xml:space="preserve"> </w:t>
      </w:r>
    </w:p>
    <w:p w14:paraId="3FF148E3" w14:textId="096551CC" w:rsidR="00ED4E70" w:rsidRPr="00E80661" w:rsidRDefault="00FA6F09" w:rsidP="00644601">
      <w:pPr>
        <w:pStyle w:val="ListParagraph"/>
        <w:numPr>
          <w:ilvl w:val="0"/>
          <w:numId w:val="63"/>
        </w:numPr>
      </w:pPr>
      <w:r w:rsidRPr="00E80661">
        <w:t>the EP b</w:t>
      </w:r>
      <w:r w:rsidR="00ED4E70" w:rsidRPr="00E80661">
        <w:t xml:space="preserve">elieves that it is important to support national and regional parliaments </w:t>
      </w:r>
      <w:r w:rsidR="00D24E04" w:rsidRPr="00E80661">
        <w:t xml:space="preserve">by means of </w:t>
      </w:r>
      <w:r w:rsidR="00ED4E70" w:rsidRPr="00E80661">
        <w:t xml:space="preserve">tools permitting information exchange, </w:t>
      </w:r>
      <w:r w:rsidR="00D24E04" w:rsidRPr="00E80661">
        <w:t xml:space="preserve">for example by setting up </w:t>
      </w:r>
      <w:r w:rsidR="00ED4E70" w:rsidRPr="00E80661">
        <w:t>an IT platform that can be accessed by EU citizens</w:t>
      </w:r>
      <w:r w:rsidR="00D24E04" w:rsidRPr="00E80661">
        <w:t>.</w:t>
      </w:r>
      <w:r w:rsidR="00ED4E70" w:rsidRPr="00E80661">
        <w:t xml:space="preserve"> </w:t>
      </w:r>
    </w:p>
    <w:p w14:paraId="27F9AC2A" w14:textId="77777777" w:rsidR="00ED4E70" w:rsidRPr="00644601" w:rsidRDefault="00ED4E70" w:rsidP="00ED4E70">
      <w:pPr>
        <w:outlineLvl w:val="0"/>
        <w:rPr>
          <w:b/>
          <w:kern w:val="28"/>
        </w:rPr>
      </w:pPr>
    </w:p>
    <w:p w14:paraId="222780EB" w14:textId="77777777" w:rsidR="000B6871" w:rsidRPr="00644601" w:rsidRDefault="000B6871" w:rsidP="00ED4E70">
      <w:pPr>
        <w:outlineLvl w:val="0"/>
        <w:rPr>
          <w:b/>
          <w:kern w:val="28"/>
        </w:rPr>
      </w:pPr>
    </w:p>
    <w:p w14:paraId="5C55BD9A" w14:textId="5DD1BAC6" w:rsidR="000C26A7" w:rsidRPr="00644601" w:rsidRDefault="009464F1" w:rsidP="00707FB6">
      <w:pPr>
        <w:numPr>
          <w:ilvl w:val="0"/>
          <w:numId w:val="1"/>
        </w:numPr>
        <w:outlineLvl w:val="0"/>
        <w:rPr>
          <w:b/>
          <w:kern w:val="28"/>
        </w:rPr>
      </w:pPr>
      <w:r w:rsidRPr="00644601">
        <w:rPr>
          <w:b/>
          <w:kern w:val="28"/>
        </w:rPr>
        <w:t xml:space="preserve"> </w:t>
      </w:r>
      <w:bookmarkStart w:id="106" w:name="_Toc486243297"/>
      <w:bookmarkStart w:id="107" w:name="_Toc485373848"/>
      <w:r w:rsidR="00707FB6" w:rsidRPr="00644601">
        <w:rPr>
          <w:b/>
          <w:kern w:val="28"/>
        </w:rPr>
        <w:t>Migration, security and justice</w:t>
      </w:r>
      <w:bookmarkEnd w:id="105"/>
      <w:bookmarkEnd w:id="106"/>
      <w:bookmarkEnd w:id="107"/>
    </w:p>
    <w:p w14:paraId="5C55BD9B" w14:textId="77777777" w:rsidR="000C26A7" w:rsidRPr="00E80661" w:rsidRDefault="000C26A7" w:rsidP="00707FB6">
      <w:pPr>
        <w:rPr>
          <w:szCs w:val="22"/>
        </w:rPr>
      </w:pPr>
    </w:p>
    <w:p w14:paraId="5C55BD9C" w14:textId="77777777" w:rsidR="000C26A7" w:rsidRPr="00E80661" w:rsidRDefault="000C26A7" w:rsidP="000C26A7">
      <w:r w:rsidRPr="00E80661">
        <w:t xml:space="preserve">The CoR opinions </w:t>
      </w:r>
      <w:r w:rsidRPr="00E80661">
        <w:rPr>
          <w:b/>
        </w:rPr>
        <w:t>Reform of the Common European Asylum System</w:t>
      </w:r>
      <w:r w:rsidRPr="00644601">
        <w:rPr>
          <w:b/>
        </w:rPr>
        <w:footnoteReference w:id="93"/>
      </w:r>
      <w:r w:rsidRPr="00E80661">
        <w:t xml:space="preserve"> and </w:t>
      </w:r>
      <w:r w:rsidRPr="00E80661">
        <w:rPr>
          <w:b/>
        </w:rPr>
        <w:t>Reform of the Common European Asylum System – Package II and Union Resettlement Framework</w:t>
      </w:r>
      <w:r w:rsidRPr="00644601">
        <w:rPr>
          <w:b/>
        </w:rPr>
        <w:footnoteReference w:id="94"/>
      </w:r>
      <w:r w:rsidRPr="00E80661">
        <w:t xml:space="preserve"> on the first and second package of the legislative proposals to reform the Common European Asylum System allowed the CoR to contribute to one of the most important political debates of the year</w:t>
      </w:r>
      <w:r w:rsidRPr="00E80661">
        <w:rPr>
          <w:rStyle w:val="FootnoteReference"/>
          <w:szCs w:val="22"/>
        </w:rPr>
        <w:footnoteReference w:id="95"/>
      </w:r>
      <w:r w:rsidRPr="00E80661">
        <w:t>.</w:t>
      </w:r>
    </w:p>
    <w:p w14:paraId="5C55BD9D" w14:textId="77777777" w:rsidR="000C26A7" w:rsidRPr="00E80661" w:rsidRDefault="000C26A7" w:rsidP="000C26A7"/>
    <w:p w14:paraId="5C55BD9E" w14:textId="538CEB05" w:rsidR="000C26A7" w:rsidRPr="00E80661" w:rsidRDefault="000C26A7" w:rsidP="000C26A7">
      <w:r w:rsidRPr="00E80661">
        <w:t>Regarding the main proposal of both packages to reform the so</w:t>
      </w:r>
      <w:r w:rsidR="008133E6" w:rsidRPr="00E80661">
        <w:t>-</w:t>
      </w:r>
      <w:r w:rsidRPr="00E80661">
        <w:t>called Dublin system</w:t>
      </w:r>
      <w:r w:rsidRPr="00E80661">
        <w:rPr>
          <w:rStyle w:val="FootnoteReference"/>
          <w:szCs w:val="22"/>
        </w:rPr>
        <w:footnoteReference w:id="96"/>
      </w:r>
      <w:r w:rsidRPr="00E80661">
        <w:t xml:space="preserve">, the CoR recommended giving greater consideration to the preferences and skills of asylum applicants and stressed that positive incentives should be </w:t>
      </w:r>
      <w:r w:rsidR="00032F66">
        <w:t>prioritised</w:t>
      </w:r>
      <w:r w:rsidR="00032F66" w:rsidRPr="00E80661">
        <w:t xml:space="preserve"> </w:t>
      </w:r>
      <w:r w:rsidRPr="00E80661">
        <w:t xml:space="preserve">wherever possible over sanctions in trying to avoid unwanted secondary movements. This recommendation was echoed in the draft report of the European Parliament's LIBE </w:t>
      </w:r>
      <w:r w:rsidR="008133E6" w:rsidRPr="00E80661">
        <w:t>C</w:t>
      </w:r>
      <w:r w:rsidRPr="00E80661">
        <w:t>ommittee</w:t>
      </w:r>
      <w:r w:rsidRPr="00E80661">
        <w:rPr>
          <w:rStyle w:val="FootnoteReference"/>
          <w:szCs w:val="22"/>
        </w:rPr>
        <w:footnoteReference w:id="97"/>
      </w:r>
      <w:r w:rsidRPr="00E80661">
        <w:t xml:space="preserve">, where rapporteur MEP </w:t>
      </w:r>
      <w:r w:rsidR="008133E6" w:rsidRPr="00E80661">
        <w:t xml:space="preserve">Cecilia </w:t>
      </w:r>
      <w:r w:rsidRPr="00E80661">
        <w:t>Wikström (SE/ALDE) suggested combining protection with integration rather than punitive measures, thus favouring long-term social cohesion and security for all, and discouraging secondary movements.</w:t>
      </w:r>
    </w:p>
    <w:p w14:paraId="5C55BD9F" w14:textId="77777777" w:rsidR="000C26A7" w:rsidRPr="00E80661" w:rsidRDefault="000C26A7" w:rsidP="000C26A7"/>
    <w:p w14:paraId="5C55BDA0" w14:textId="6AA58593" w:rsidR="00707FB6" w:rsidRPr="00E80661" w:rsidRDefault="00707FB6" w:rsidP="000C26A7">
      <w:pPr>
        <w:rPr>
          <w:szCs w:val="22"/>
        </w:rPr>
      </w:pPr>
      <w:r w:rsidRPr="00E80661">
        <w:rPr>
          <w:szCs w:val="22"/>
        </w:rPr>
        <w:t xml:space="preserve">In line with the opinion on </w:t>
      </w:r>
      <w:r w:rsidRPr="00E80661">
        <w:rPr>
          <w:b/>
          <w:szCs w:val="22"/>
        </w:rPr>
        <w:t>Protection of refugees in their areas of origin: a new perspective</w:t>
      </w:r>
      <w:r w:rsidRPr="00644601">
        <w:rPr>
          <w:b/>
        </w:rPr>
        <w:footnoteReference w:id="98"/>
      </w:r>
      <w:r w:rsidRPr="00E80661">
        <w:rPr>
          <w:szCs w:val="22"/>
        </w:rPr>
        <w:t xml:space="preserve">, the European Commission it its </w:t>
      </w:r>
      <w:r w:rsidR="008133E6" w:rsidRPr="00E80661">
        <w:rPr>
          <w:szCs w:val="22"/>
        </w:rPr>
        <w:t>C</w:t>
      </w:r>
      <w:r w:rsidRPr="00E80661">
        <w:rPr>
          <w:szCs w:val="22"/>
        </w:rPr>
        <w:t>ommunication on Forced Displacement and Development:</w:t>
      </w:r>
    </w:p>
    <w:p w14:paraId="5C55BDA1" w14:textId="6B023F5A" w:rsidR="00707FB6" w:rsidRPr="00E80661" w:rsidRDefault="00707FB6" w:rsidP="00E24A1B">
      <w:pPr>
        <w:numPr>
          <w:ilvl w:val="0"/>
          <w:numId w:val="42"/>
        </w:numPr>
        <w:rPr>
          <w:szCs w:val="22"/>
        </w:rPr>
      </w:pPr>
      <w:r w:rsidRPr="00E80661">
        <w:rPr>
          <w:szCs w:val="22"/>
        </w:rPr>
        <w:t>pointed out that the EU</w:t>
      </w:r>
      <w:r w:rsidR="008133E6" w:rsidRPr="00E80661">
        <w:rPr>
          <w:szCs w:val="22"/>
        </w:rPr>
        <w:t>'</w:t>
      </w:r>
      <w:r w:rsidRPr="00E80661">
        <w:rPr>
          <w:szCs w:val="22"/>
        </w:rPr>
        <w:t>s comprehensive approach to external conflict and crises provided an important entry point for the strategically coherent use of different EU policies and instruments in close cooperation with Member States</w:t>
      </w:r>
      <w:r w:rsidR="00177055" w:rsidRPr="00E80661">
        <w:rPr>
          <w:szCs w:val="22"/>
        </w:rPr>
        <w:t>;</w:t>
      </w:r>
      <w:r w:rsidRPr="00E80661">
        <w:rPr>
          <w:szCs w:val="22"/>
        </w:rPr>
        <w:t xml:space="preserve"> </w:t>
      </w:r>
    </w:p>
    <w:p w14:paraId="5C55BDA2" w14:textId="475F56F3" w:rsidR="00707FB6" w:rsidRPr="00E80661" w:rsidRDefault="00177055" w:rsidP="00E24A1B">
      <w:pPr>
        <w:numPr>
          <w:ilvl w:val="0"/>
          <w:numId w:val="42"/>
        </w:numPr>
        <w:rPr>
          <w:szCs w:val="22"/>
        </w:rPr>
      </w:pPr>
      <w:r w:rsidRPr="00E80661">
        <w:rPr>
          <w:szCs w:val="22"/>
        </w:rPr>
        <w:t>c</w:t>
      </w:r>
      <w:r w:rsidR="00707FB6" w:rsidRPr="00E80661">
        <w:rPr>
          <w:szCs w:val="22"/>
        </w:rPr>
        <w:t>alled for a common strategic agenda and greater cooperation between international donors, host governments, local communities, civil society and the displaced themselves</w:t>
      </w:r>
      <w:r w:rsidRPr="00E80661">
        <w:rPr>
          <w:szCs w:val="22"/>
        </w:rPr>
        <w:t>;</w:t>
      </w:r>
    </w:p>
    <w:p w14:paraId="5C55BDA3" w14:textId="50454F90" w:rsidR="00707FB6" w:rsidRPr="00E80661" w:rsidRDefault="00177055" w:rsidP="00E24A1B">
      <w:pPr>
        <w:numPr>
          <w:ilvl w:val="0"/>
          <w:numId w:val="42"/>
        </w:numPr>
        <w:rPr>
          <w:szCs w:val="22"/>
        </w:rPr>
      </w:pPr>
      <w:r w:rsidRPr="00E80661">
        <w:rPr>
          <w:rFonts w:ascii="TimesNewRoman" w:hAnsi="TimesNewRoman" w:cs="TimesNewRoman"/>
          <w:szCs w:val="22"/>
          <w:lang w:eastAsia="fr-BE"/>
        </w:rPr>
        <w:t>e</w:t>
      </w:r>
      <w:r w:rsidR="00707FB6" w:rsidRPr="00E80661">
        <w:rPr>
          <w:rFonts w:ascii="TimesNewRoman" w:hAnsi="TimesNewRoman" w:cs="TimesNewRoman"/>
          <w:szCs w:val="22"/>
          <w:lang w:eastAsia="fr-BE"/>
        </w:rPr>
        <w:t xml:space="preserve">nvisaged </w:t>
      </w:r>
      <w:r w:rsidR="008133E6" w:rsidRPr="00E80661">
        <w:rPr>
          <w:rFonts w:ascii="TimesNewRoman" w:hAnsi="TimesNewRoman" w:cs="TimesNewRoman"/>
          <w:szCs w:val="22"/>
          <w:lang w:eastAsia="fr-BE"/>
        </w:rPr>
        <w:t xml:space="preserve">boosting </w:t>
      </w:r>
      <w:r w:rsidR="00707FB6" w:rsidRPr="00E80661">
        <w:rPr>
          <w:rFonts w:ascii="TimesNewRoman" w:hAnsi="TimesNewRoman" w:cs="TimesNewRoman"/>
          <w:szCs w:val="22"/>
          <w:lang w:eastAsia="fr-BE"/>
        </w:rPr>
        <w:t xml:space="preserve">engagement with local authorities to increase their capacity in areas such as urban planning, local area-based economic development and service delivery. </w:t>
      </w:r>
    </w:p>
    <w:p w14:paraId="5C55BDA4" w14:textId="77777777" w:rsidR="00707FB6" w:rsidRPr="00E80661" w:rsidRDefault="00707FB6" w:rsidP="00707FB6">
      <w:pPr>
        <w:rPr>
          <w:szCs w:val="22"/>
        </w:rPr>
      </w:pPr>
    </w:p>
    <w:p w14:paraId="5C55BDA6" w14:textId="0E0A287F" w:rsidR="00707FB6" w:rsidRPr="00E80661" w:rsidRDefault="00707FB6" w:rsidP="00270410">
      <w:pPr>
        <w:overflowPunct/>
        <w:textAlignment w:val="auto"/>
        <w:rPr>
          <w:szCs w:val="22"/>
        </w:rPr>
      </w:pPr>
      <w:r w:rsidRPr="00E80661">
        <w:rPr>
          <w:szCs w:val="22"/>
          <w:lang w:eastAsia="fr-BE"/>
        </w:rPr>
        <w:t xml:space="preserve">The Council </w:t>
      </w:r>
      <w:r w:rsidR="006D575A">
        <w:rPr>
          <w:szCs w:val="22"/>
          <w:lang w:eastAsia="fr-BE"/>
        </w:rPr>
        <w:t>c</w:t>
      </w:r>
      <w:r w:rsidRPr="00E80661">
        <w:rPr>
          <w:szCs w:val="22"/>
          <w:lang w:eastAsia="fr-BE"/>
        </w:rPr>
        <w:t>onclusions</w:t>
      </w:r>
      <w:r w:rsidRPr="00644601">
        <w:footnoteReference w:id="99"/>
      </w:r>
      <w:r w:rsidRPr="00E80661">
        <w:rPr>
          <w:szCs w:val="22"/>
          <w:lang w:eastAsia="fr-BE"/>
        </w:rPr>
        <w:t xml:space="preserve"> following the Commission Communication state that the EU will "work together with host governments and local authorities in gradually implementing plans and policies for the socio-economic inclusion of forcibly displaced persons, within the framework of local and national development plans."</w:t>
      </w:r>
    </w:p>
    <w:p w14:paraId="5C55BDA7" w14:textId="64CDCE57" w:rsidR="00707FB6" w:rsidRPr="00E80661" w:rsidRDefault="00707FB6" w:rsidP="00707FB6">
      <w:pPr>
        <w:rPr>
          <w:b/>
          <w:szCs w:val="22"/>
        </w:rPr>
      </w:pPr>
      <w:r w:rsidRPr="00E80661">
        <w:t xml:space="preserve">The </w:t>
      </w:r>
      <w:r w:rsidR="00386329" w:rsidRPr="00E80661">
        <w:t>o</w:t>
      </w:r>
      <w:r w:rsidRPr="00E80661">
        <w:t xml:space="preserve">pinion on </w:t>
      </w:r>
      <w:r w:rsidRPr="00E80661">
        <w:rPr>
          <w:b/>
          <w:szCs w:val="22"/>
        </w:rPr>
        <w:t xml:space="preserve">Combatting </w:t>
      </w:r>
      <w:r w:rsidR="00386329" w:rsidRPr="00E80661">
        <w:rPr>
          <w:b/>
          <w:szCs w:val="22"/>
        </w:rPr>
        <w:t>r</w:t>
      </w:r>
      <w:r w:rsidRPr="00E80661">
        <w:rPr>
          <w:b/>
          <w:szCs w:val="22"/>
        </w:rPr>
        <w:t xml:space="preserve">adicalisation and </w:t>
      </w:r>
      <w:r w:rsidR="00386329" w:rsidRPr="00E80661">
        <w:rPr>
          <w:b/>
          <w:szCs w:val="22"/>
        </w:rPr>
        <w:t>v</w:t>
      </w:r>
      <w:r w:rsidRPr="00E80661">
        <w:rPr>
          <w:b/>
          <w:szCs w:val="22"/>
        </w:rPr>
        <w:t xml:space="preserve">iolent </w:t>
      </w:r>
      <w:r w:rsidR="00386329" w:rsidRPr="00E80661">
        <w:rPr>
          <w:b/>
          <w:szCs w:val="22"/>
        </w:rPr>
        <w:t>e</w:t>
      </w:r>
      <w:r w:rsidRPr="00E80661">
        <w:rPr>
          <w:b/>
          <w:szCs w:val="22"/>
        </w:rPr>
        <w:t xml:space="preserve">xtremism: </w:t>
      </w:r>
      <w:r w:rsidR="00386329" w:rsidRPr="00E80661">
        <w:rPr>
          <w:b/>
          <w:szCs w:val="22"/>
        </w:rPr>
        <w:t>p</w:t>
      </w:r>
      <w:r w:rsidRPr="00E80661">
        <w:rPr>
          <w:b/>
          <w:szCs w:val="22"/>
        </w:rPr>
        <w:t>revention mechanisms at local and regional level</w:t>
      </w:r>
      <w:r w:rsidRPr="00644601">
        <w:rPr>
          <w:b/>
        </w:rPr>
        <w:footnoteReference w:id="100"/>
      </w:r>
      <w:r w:rsidRPr="00614B1E">
        <w:rPr>
          <w:b/>
          <w:szCs w:val="22"/>
          <w:vertAlign w:val="superscript"/>
        </w:rPr>
        <w:t xml:space="preserve"> </w:t>
      </w:r>
      <w:r w:rsidRPr="00E80661">
        <w:rPr>
          <w:szCs w:val="22"/>
        </w:rPr>
        <w:t xml:space="preserve">contributed to the broad debate on security and terrorism and its findings received a good follow-up </w:t>
      </w:r>
      <w:r w:rsidR="00386329" w:rsidRPr="00E80661">
        <w:rPr>
          <w:szCs w:val="22"/>
        </w:rPr>
        <w:t>at an</w:t>
      </w:r>
      <w:r w:rsidRPr="00E80661">
        <w:rPr>
          <w:szCs w:val="22"/>
        </w:rPr>
        <w:t xml:space="preserve"> interinstitutional level.</w:t>
      </w:r>
    </w:p>
    <w:p w14:paraId="5C55BDA8" w14:textId="77777777" w:rsidR="00707FB6" w:rsidRPr="00E80661" w:rsidRDefault="00707FB6" w:rsidP="00707FB6">
      <w:pPr>
        <w:rPr>
          <w:szCs w:val="22"/>
        </w:rPr>
      </w:pPr>
    </w:p>
    <w:p w14:paraId="5C55BDA9" w14:textId="77777777" w:rsidR="00707FB6" w:rsidRPr="00E80661" w:rsidRDefault="00707FB6" w:rsidP="00707FB6">
      <w:pPr>
        <w:rPr>
          <w:szCs w:val="22"/>
        </w:rPr>
      </w:pPr>
      <w:r w:rsidRPr="00E80661">
        <w:rPr>
          <w:szCs w:val="22"/>
        </w:rPr>
        <w:t>The European Commission:</w:t>
      </w:r>
    </w:p>
    <w:p w14:paraId="5C55BDAA" w14:textId="77777777" w:rsidR="00707FB6" w:rsidRPr="00E80661" w:rsidRDefault="00707FB6" w:rsidP="00E24A1B">
      <w:pPr>
        <w:numPr>
          <w:ilvl w:val="0"/>
          <w:numId w:val="43"/>
        </w:numPr>
      </w:pPr>
      <w:r w:rsidRPr="00E80661">
        <w:rPr>
          <w:szCs w:val="22"/>
        </w:rPr>
        <w:t xml:space="preserve">accepted a proposal for the </w:t>
      </w:r>
      <w:r w:rsidRPr="00E80661">
        <w:t>establishment of a repository of prevention strategies at national, regional or local level, networks of practitioners and national/regional contact points in Member States;</w:t>
      </w:r>
    </w:p>
    <w:p w14:paraId="5C55BDAB" w14:textId="77777777" w:rsidR="00707FB6" w:rsidRPr="00E80661" w:rsidRDefault="00707FB6" w:rsidP="00E24A1B">
      <w:pPr>
        <w:numPr>
          <w:ilvl w:val="0"/>
          <w:numId w:val="43"/>
        </w:numPr>
      </w:pPr>
      <w:r w:rsidRPr="00E80661">
        <w:t>stressed the importance of action on the causes of radicalisation and the recruitment of terrorists, stepping up prevention, mainly by monitoring the internet and maintaining a dialogue with faith-based communities and their leaders.</w:t>
      </w:r>
    </w:p>
    <w:p w14:paraId="5C55BDAC" w14:textId="77777777" w:rsidR="00707FB6" w:rsidRPr="00E80661" w:rsidRDefault="00707FB6" w:rsidP="00707FB6"/>
    <w:p w14:paraId="5C55BDAD" w14:textId="1BF7B4CE" w:rsidR="00707FB6" w:rsidRPr="00E80661" w:rsidRDefault="00707FB6" w:rsidP="00707FB6">
      <w:pPr>
        <w:shd w:val="clear" w:color="auto" w:fill="FFFFFF" w:themeFill="background1"/>
        <w:overflowPunct/>
        <w:autoSpaceDE/>
        <w:autoSpaceDN/>
        <w:adjustRightInd/>
        <w:textAlignment w:val="auto"/>
      </w:pPr>
      <w:r w:rsidRPr="00E80661">
        <w:t xml:space="preserve">The text </w:t>
      </w:r>
      <w:r w:rsidR="005F643B" w:rsidRPr="00E80661">
        <w:t>adopted in February 2017 by the European Parliament</w:t>
      </w:r>
      <w:r w:rsidRPr="00E80661">
        <w:t xml:space="preserve"> on the Proposal for a Directive on combating terrorism and replacing Council Framework Decision 2002/475/JHA on combating terrorism includes references that relate to the local level</w:t>
      </w:r>
      <w:r w:rsidR="00053680" w:rsidRPr="00E80661">
        <w:t>. As to the first point it is clear it is part of a compromise including an amendment tabled at th</w:t>
      </w:r>
      <w:r w:rsidR="007D7FCB" w:rsidRPr="00E80661">
        <w:t>e request of the CoR rapporteur</w:t>
      </w:r>
      <w:r w:rsidR="00177055" w:rsidRPr="00E80661">
        <w:t>:</w:t>
      </w:r>
    </w:p>
    <w:p w14:paraId="5C55BDAE" w14:textId="4459743C" w:rsidR="00707FB6" w:rsidRPr="00E80661" w:rsidRDefault="00177055" w:rsidP="00E24A1B">
      <w:pPr>
        <w:numPr>
          <w:ilvl w:val="0"/>
          <w:numId w:val="44"/>
        </w:numPr>
        <w:shd w:val="clear" w:color="auto" w:fill="FFFFFF" w:themeFill="background1"/>
        <w:overflowPunct/>
        <w:autoSpaceDE/>
        <w:autoSpaceDN/>
        <w:adjustRightInd/>
        <w:textAlignment w:val="auto"/>
      </w:pPr>
      <w:r w:rsidRPr="00E80661">
        <w:t>e</w:t>
      </w:r>
      <w:r w:rsidR="00707FB6" w:rsidRPr="00E80661">
        <w:t xml:space="preserve">xplicit recognition of the need </w:t>
      </w:r>
      <w:r w:rsidR="00173A2F" w:rsidRPr="00E80661">
        <w:t>to provide</w:t>
      </w:r>
      <w:r w:rsidR="00707FB6" w:rsidRPr="00E80661">
        <w:t xml:space="preserve">, where </w:t>
      </w:r>
      <w:r w:rsidR="00E80661" w:rsidRPr="00E80661">
        <w:t>appropriate</w:t>
      </w:r>
      <w:r w:rsidR="00707FB6" w:rsidRPr="00E80661">
        <w:t xml:space="preserve">, EU level support for national, regional and local </w:t>
      </w:r>
      <w:r w:rsidR="00707FB6" w:rsidRPr="00E80661">
        <w:rPr>
          <w:bCs/>
          <w:iCs/>
        </w:rPr>
        <w:t>authorities in developing prevention policies;</w:t>
      </w:r>
    </w:p>
    <w:p w14:paraId="1BFD788F" w14:textId="22307807" w:rsidR="00226F4B" w:rsidRPr="00E80661" w:rsidRDefault="005E28D3" w:rsidP="00226F4B">
      <w:pPr>
        <w:numPr>
          <w:ilvl w:val="0"/>
          <w:numId w:val="44"/>
        </w:numPr>
        <w:shd w:val="clear" w:color="auto" w:fill="FFFFFF" w:themeFill="background1"/>
        <w:overflowPunct/>
        <w:autoSpaceDE/>
        <w:autoSpaceDN/>
        <w:adjustRightInd/>
        <w:textAlignment w:val="auto"/>
      </w:pPr>
      <w:r w:rsidRPr="00E80661">
        <w:rPr>
          <w:bCs/>
          <w:iCs/>
        </w:rPr>
        <w:t>m</w:t>
      </w:r>
      <w:r w:rsidR="00053680" w:rsidRPr="00E80661">
        <w:rPr>
          <w:bCs/>
          <w:iCs/>
        </w:rPr>
        <w:t xml:space="preserve">easures providing support to professionals, including civil society partners likely to come in </w:t>
      </w:r>
      <w:r w:rsidRPr="00E80661">
        <w:rPr>
          <w:bCs/>
          <w:iCs/>
        </w:rPr>
        <w:t>c</w:t>
      </w:r>
      <w:r w:rsidR="00053680" w:rsidRPr="00E80661">
        <w:rPr>
          <w:bCs/>
          <w:iCs/>
        </w:rPr>
        <w:t>ontact with persons vulnerable to radicalisation</w:t>
      </w:r>
      <w:r w:rsidRPr="00E80661">
        <w:rPr>
          <w:bCs/>
          <w:iCs/>
        </w:rPr>
        <w:t xml:space="preserve"> </w:t>
      </w:r>
      <w:r w:rsidR="00053680" w:rsidRPr="00E80661">
        <w:rPr>
          <w:bCs/>
          <w:iCs/>
        </w:rPr>
        <w:t xml:space="preserve">should, where appropriate, be taken in cooperation with private companies, relevant civil society organisations, </w:t>
      </w:r>
      <w:r w:rsidR="00053680" w:rsidRPr="00E80661">
        <w:rPr>
          <w:b/>
          <w:bCs/>
          <w:iCs/>
        </w:rPr>
        <w:t>local communities</w:t>
      </w:r>
      <w:r w:rsidR="007D7FCB" w:rsidRPr="00E80661">
        <w:rPr>
          <w:bCs/>
          <w:iCs/>
        </w:rPr>
        <w:t xml:space="preserve"> and other stakeholders</w:t>
      </w:r>
      <w:r w:rsidR="00226F4B" w:rsidRPr="00E80661">
        <w:rPr>
          <w:bCs/>
          <w:iCs/>
        </w:rPr>
        <w:t xml:space="preserve">. </w:t>
      </w:r>
    </w:p>
    <w:p w14:paraId="44D7FB08" w14:textId="77777777" w:rsidR="008A75AE" w:rsidRPr="00E80661" w:rsidRDefault="008A75AE" w:rsidP="008A75AE">
      <w:pPr>
        <w:shd w:val="clear" w:color="auto" w:fill="FFFFFF" w:themeFill="background1"/>
        <w:overflowPunct/>
        <w:autoSpaceDE/>
        <w:autoSpaceDN/>
        <w:adjustRightInd/>
        <w:ind w:left="720"/>
        <w:textAlignment w:val="auto"/>
      </w:pPr>
    </w:p>
    <w:p w14:paraId="5C55BDB0" w14:textId="387967E7" w:rsidR="00707FB6" w:rsidRPr="00E80661" w:rsidRDefault="00053680" w:rsidP="00707FB6">
      <w:r w:rsidRPr="00E80661">
        <w:t>At the initiative of the CoR rapporteur, two high-level study visits took place in 2016 to Mechelen to showcase best practices of Mechelen with regard to anti-radicalisation polices</w:t>
      </w:r>
      <w:r w:rsidRPr="00644601">
        <w:footnoteReference w:id="101"/>
      </w:r>
      <w:r w:rsidRPr="00E80661">
        <w:t>. The success of Mechelen in preventing radicalisation was widely highlighted in the media and Bart Somers was awarded the 2016 World Mayor Prize.</w:t>
      </w:r>
    </w:p>
    <w:p w14:paraId="7267E1AE" w14:textId="77777777" w:rsidR="005E57B3" w:rsidRPr="00E80661" w:rsidRDefault="005E57B3" w:rsidP="00707FB6"/>
    <w:p w14:paraId="6D9B1A03" w14:textId="06218803" w:rsidR="000B0151" w:rsidRPr="00E80661" w:rsidRDefault="00F86711" w:rsidP="000B0151">
      <w:r w:rsidRPr="00E80661">
        <w:t>At the time</w:t>
      </w:r>
      <w:r w:rsidR="005E28D3" w:rsidRPr="00E80661">
        <w:t>, the</w:t>
      </w:r>
      <w:r w:rsidRPr="00E80661">
        <w:t xml:space="preserve"> ALDE coordinator of CIVEX Bart Somers </w:t>
      </w:r>
      <w:r w:rsidR="00CB3540" w:rsidRPr="00E80661">
        <w:t>managed to</w:t>
      </w:r>
      <w:r w:rsidRPr="00E80661">
        <w:t xml:space="preserve"> </w:t>
      </w:r>
      <w:r w:rsidR="000B0151" w:rsidRPr="00E80661">
        <w:t>influence the</w:t>
      </w:r>
      <w:r w:rsidR="007D7FCB" w:rsidRPr="00E80661">
        <w:t xml:space="preserve"> </w:t>
      </w:r>
      <w:r w:rsidR="005E57B3" w:rsidRPr="00E80661">
        <w:t>content</w:t>
      </w:r>
      <w:r w:rsidR="000B0151" w:rsidRPr="00E80661">
        <w:t xml:space="preserve"> of the EP</w:t>
      </w:r>
      <w:r w:rsidR="000B0151" w:rsidRPr="00E80661">
        <w:rPr>
          <w:szCs w:val="22"/>
        </w:rPr>
        <w:t xml:space="preserve"> </w:t>
      </w:r>
      <w:r w:rsidR="00FC145E" w:rsidRPr="00E80661">
        <w:rPr>
          <w:szCs w:val="22"/>
        </w:rPr>
        <w:t>R</w:t>
      </w:r>
      <w:r w:rsidR="000B0151" w:rsidRPr="00E80661">
        <w:rPr>
          <w:szCs w:val="22"/>
        </w:rPr>
        <w:t>esolution on the establishment of an EU mechanism on democracy, the rule of law</w:t>
      </w:r>
      <w:r w:rsidR="008A75AE" w:rsidRPr="00E80661">
        <w:rPr>
          <w:szCs w:val="22"/>
        </w:rPr>
        <w:t xml:space="preserve"> and fundamental rights</w:t>
      </w:r>
      <w:r w:rsidR="008A75AE" w:rsidRPr="00E80661">
        <w:rPr>
          <w:rStyle w:val="FootnoteReference"/>
          <w:szCs w:val="22"/>
        </w:rPr>
        <w:footnoteReference w:id="102"/>
      </w:r>
      <w:r w:rsidR="000B0151" w:rsidRPr="00E80661">
        <w:rPr>
          <w:szCs w:val="22"/>
        </w:rPr>
        <w:t>, which recognises the importance</w:t>
      </w:r>
      <w:r w:rsidR="00E700AB" w:rsidRPr="00E80661">
        <w:rPr>
          <w:szCs w:val="22"/>
        </w:rPr>
        <w:t xml:space="preserve"> of all levels of government working closely together on the basis of their competences and responsibilities in order to identify possible systemic threats to the rule of law at an early stage and to improve the protection of the r</w:t>
      </w:r>
      <w:r w:rsidR="00CB3540" w:rsidRPr="00E80661">
        <w:rPr>
          <w:szCs w:val="22"/>
        </w:rPr>
        <w:t>u</w:t>
      </w:r>
      <w:r w:rsidR="00E700AB" w:rsidRPr="00E80661">
        <w:rPr>
          <w:szCs w:val="22"/>
        </w:rPr>
        <w:t xml:space="preserve">le of </w:t>
      </w:r>
      <w:r w:rsidR="00CB3540" w:rsidRPr="00E80661">
        <w:rPr>
          <w:szCs w:val="22"/>
        </w:rPr>
        <w:t xml:space="preserve">law. It also </w:t>
      </w:r>
      <w:r w:rsidR="000B0151" w:rsidRPr="00E80661">
        <w:rPr>
          <w:szCs w:val="22"/>
        </w:rPr>
        <w:t xml:space="preserve">confers on the CoR a role in passing on the </w:t>
      </w:r>
      <w:r w:rsidR="008B23B3" w:rsidRPr="00E80661">
        <w:rPr>
          <w:szCs w:val="22"/>
        </w:rPr>
        <w:t>R</w:t>
      </w:r>
      <w:r w:rsidR="000B0151" w:rsidRPr="00E80661">
        <w:rPr>
          <w:szCs w:val="22"/>
        </w:rPr>
        <w:t xml:space="preserve">esolution to </w:t>
      </w:r>
      <w:r w:rsidR="00CB3540" w:rsidRPr="00E80661">
        <w:rPr>
          <w:szCs w:val="22"/>
        </w:rPr>
        <w:t>subnational</w:t>
      </w:r>
      <w:r w:rsidR="000B0151" w:rsidRPr="00E80661">
        <w:rPr>
          <w:szCs w:val="22"/>
        </w:rPr>
        <w:t xml:space="preserve"> parliaments</w:t>
      </w:r>
      <w:r w:rsidR="00CB3540" w:rsidRPr="00E80661">
        <w:rPr>
          <w:szCs w:val="22"/>
        </w:rPr>
        <w:t xml:space="preserve"> and councils</w:t>
      </w:r>
      <w:r w:rsidR="000B0151" w:rsidRPr="00E80661">
        <w:rPr>
          <w:szCs w:val="22"/>
        </w:rPr>
        <w:t>, reinforcing the CoR's position as the main interlocutor dealing with subnational governments.</w:t>
      </w:r>
    </w:p>
    <w:p w14:paraId="03D0D909" w14:textId="60897376" w:rsidR="000B6871" w:rsidRPr="00E80661" w:rsidRDefault="000B6871">
      <w:pPr>
        <w:overflowPunct/>
        <w:autoSpaceDE/>
        <w:autoSpaceDN/>
        <w:adjustRightInd/>
        <w:spacing w:line="240" w:lineRule="auto"/>
        <w:jc w:val="left"/>
        <w:textAlignment w:val="auto"/>
      </w:pPr>
      <w:r w:rsidRPr="00E80661">
        <w:br w:type="page"/>
      </w:r>
    </w:p>
    <w:p w14:paraId="5C55BDB3" w14:textId="77777777" w:rsidR="00707FB6" w:rsidRPr="00644601" w:rsidRDefault="00707FB6" w:rsidP="00707FB6">
      <w:pPr>
        <w:numPr>
          <w:ilvl w:val="0"/>
          <w:numId w:val="1"/>
        </w:numPr>
        <w:outlineLvl w:val="0"/>
        <w:rPr>
          <w:b/>
          <w:kern w:val="28"/>
        </w:rPr>
      </w:pPr>
      <w:r w:rsidRPr="00644601">
        <w:rPr>
          <w:b/>
          <w:kern w:val="28"/>
        </w:rPr>
        <w:t xml:space="preserve"> </w:t>
      </w:r>
      <w:bookmarkStart w:id="108" w:name="_Toc478112429"/>
      <w:bookmarkStart w:id="109" w:name="_Toc486243298"/>
      <w:bookmarkStart w:id="110" w:name="_Toc485373849"/>
      <w:r w:rsidRPr="00644601">
        <w:rPr>
          <w:b/>
          <w:kern w:val="28"/>
        </w:rPr>
        <w:t>Europe as a global actor</w:t>
      </w:r>
      <w:bookmarkEnd w:id="108"/>
      <w:bookmarkEnd w:id="109"/>
      <w:bookmarkEnd w:id="110"/>
    </w:p>
    <w:p w14:paraId="5C55BDB4" w14:textId="77777777" w:rsidR="00707FB6" w:rsidRPr="00E80661" w:rsidRDefault="00707FB6" w:rsidP="00707FB6">
      <w:pPr>
        <w:outlineLvl w:val="1"/>
        <w:rPr>
          <w:b/>
          <w:szCs w:val="22"/>
        </w:rPr>
      </w:pPr>
    </w:p>
    <w:p w14:paraId="5C55BDB5" w14:textId="77777777" w:rsidR="00707FB6" w:rsidRPr="00E80661" w:rsidRDefault="00707FB6" w:rsidP="00707FB6">
      <w:pPr>
        <w:numPr>
          <w:ilvl w:val="1"/>
          <w:numId w:val="1"/>
        </w:numPr>
        <w:outlineLvl w:val="1"/>
        <w:rPr>
          <w:b/>
          <w:szCs w:val="22"/>
        </w:rPr>
      </w:pPr>
      <w:bookmarkStart w:id="111" w:name="_Toc478112430"/>
      <w:bookmarkStart w:id="112" w:name="_Toc486243299"/>
      <w:bookmarkStart w:id="113" w:name="_Toc485373850"/>
      <w:r w:rsidRPr="00E80661">
        <w:rPr>
          <w:b/>
          <w:szCs w:val="22"/>
        </w:rPr>
        <w:t>Eastern Partnership</w:t>
      </w:r>
      <w:bookmarkEnd w:id="111"/>
      <w:bookmarkEnd w:id="112"/>
      <w:bookmarkEnd w:id="113"/>
    </w:p>
    <w:p w14:paraId="5C55BDB6" w14:textId="77777777" w:rsidR="00711657" w:rsidRPr="00E80661" w:rsidRDefault="00711657" w:rsidP="00644601">
      <w:pPr>
        <w:pStyle w:val="Heading1"/>
        <w:numPr>
          <w:ilvl w:val="0"/>
          <w:numId w:val="0"/>
        </w:numPr>
      </w:pPr>
    </w:p>
    <w:p w14:paraId="5C55BDB7" w14:textId="4F6B85CC" w:rsidR="00711657" w:rsidRPr="00E80661" w:rsidRDefault="002A72B0" w:rsidP="00711657">
      <w:r w:rsidRPr="00E80661">
        <w:rPr>
          <w:szCs w:val="22"/>
        </w:rPr>
        <w:t>The</w:t>
      </w:r>
      <w:r w:rsidRPr="00E80661">
        <w:t xml:space="preserve"> Foreign Affairs Council adopted in 2016, for the first time in three years, a set of conclusions</w:t>
      </w:r>
    </w:p>
    <w:p w14:paraId="5C55BDB8" w14:textId="2A85A891" w:rsidR="00711657" w:rsidRPr="00E80661" w:rsidRDefault="00711657" w:rsidP="00711657">
      <w:pPr>
        <w:rPr>
          <w:b/>
        </w:rPr>
      </w:pPr>
      <w:r w:rsidRPr="00E80661">
        <w:t>dedicated to the Eastern Partnership. The conclusions responded to the CoR</w:t>
      </w:r>
      <w:r w:rsidR="002A72B0" w:rsidRPr="00E80661">
        <w:t>'s</w:t>
      </w:r>
      <w:r w:rsidRPr="00E80661">
        <w:t xml:space="preserve"> position as expressed in the opinion on the </w:t>
      </w:r>
      <w:r w:rsidRPr="00E80661">
        <w:rPr>
          <w:b/>
        </w:rPr>
        <w:t>Review of the European Neighbourhood Policy</w:t>
      </w:r>
      <w:r w:rsidRPr="00644601">
        <w:rPr>
          <w:b/>
        </w:rPr>
        <w:footnoteReference w:id="103"/>
      </w:r>
      <w:r w:rsidRPr="00E80661">
        <w:rPr>
          <w:b/>
        </w:rPr>
        <w:t xml:space="preserve">. </w:t>
      </w:r>
      <w:r w:rsidRPr="00E80661">
        <w:t>The Council:</w:t>
      </w:r>
    </w:p>
    <w:p w14:paraId="5C55BDB9" w14:textId="77777777" w:rsidR="00711657" w:rsidRPr="00E80661" w:rsidRDefault="00711657" w:rsidP="00E24A1B">
      <w:pPr>
        <w:numPr>
          <w:ilvl w:val="0"/>
          <w:numId w:val="35"/>
        </w:numPr>
        <w:rPr>
          <w:szCs w:val="22"/>
        </w:rPr>
      </w:pPr>
      <w:r w:rsidRPr="00E80661">
        <w:rPr>
          <w:szCs w:val="22"/>
        </w:rPr>
        <w:t>reaffirmed the high importance it attaches to the Eastern Partnership offering tangible results to citizens;</w:t>
      </w:r>
    </w:p>
    <w:p w14:paraId="5C55BDBA" w14:textId="77777777" w:rsidR="00711657" w:rsidRPr="00E80661" w:rsidRDefault="00711657" w:rsidP="00E24A1B">
      <w:pPr>
        <w:numPr>
          <w:ilvl w:val="0"/>
          <w:numId w:val="35"/>
        </w:numPr>
        <w:rPr>
          <w:szCs w:val="22"/>
        </w:rPr>
      </w:pPr>
      <w:r w:rsidRPr="00E80661">
        <w:t>explicitly mentioned the need for local authorities to be involved in setting priorities as regards cooperation with EaP countries;</w:t>
      </w:r>
    </w:p>
    <w:p w14:paraId="5C55BDBB" w14:textId="77777777" w:rsidR="00711657" w:rsidRPr="00E80661" w:rsidRDefault="00711657" w:rsidP="00E24A1B">
      <w:pPr>
        <w:numPr>
          <w:ilvl w:val="0"/>
          <w:numId w:val="35"/>
        </w:numPr>
        <w:rPr>
          <w:szCs w:val="22"/>
        </w:rPr>
      </w:pPr>
      <w:r w:rsidRPr="00E80661">
        <w:t>reaffirmed the importance of including local authorities, civil society and youth organisations in the implementation of Association Agendas and Partnership Priorities, thus contributing to the democratic and economic transformation of the Partner countries;</w:t>
      </w:r>
    </w:p>
    <w:p w14:paraId="5C55BDBC" w14:textId="6AF8D17A" w:rsidR="00711657" w:rsidRPr="00E80661" w:rsidRDefault="00711657" w:rsidP="00711657">
      <w:pPr>
        <w:numPr>
          <w:ilvl w:val="0"/>
          <w:numId w:val="35"/>
        </w:numPr>
        <w:rPr>
          <w:szCs w:val="22"/>
        </w:rPr>
      </w:pPr>
      <w:r w:rsidRPr="00E80661">
        <w:rPr>
          <w:szCs w:val="22"/>
        </w:rPr>
        <w:t xml:space="preserve">highlighted the importance </w:t>
      </w:r>
      <w:r w:rsidR="002A72B0" w:rsidRPr="00E80661">
        <w:rPr>
          <w:szCs w:val="22"/>
        </w:rPr>
        <w:t xml:space="preserve">of prioritising the fight against </w:t>
      </w:r>
      <w:r w:rsidRPr="00E80661">
        <w:rPr>
          <w:szCs w:val="22"/>
        </w:rPr>
        <w:t>corruption.</w:t>
      </w:r>
    </w:p>
    <w:p w14:paraId="7C2359FE" w14:textId="77777777" w:rsidR="000B0151" w:rsidRPr="00E80661" w:rsidRDefault="000B0151" w:rsidP="00711657"/>
    <w:p w14:paraId="6C28C5F0" w14:textId="689D9BE7" w:rsidR="000B0151" w:rsidRPr="00E80661" w:rsidRDefault="000B0151" w:rsidP="000B0151">
      <w:r w:rsidRPr="00E80661">
        <w:t>The CoR has continued its bilateral work with Ukraine and is currently working with its partners</w:t>
      </w:r>
      <w:r w:rsidRPr="00E80661">
        <w:rPr>
          <w:rStyle w:val="FootnoteReference"/>
        </w:rPr>
        <w:footnoteReference w:id="104"/>
      </w:r>
      <w:r w:rsidRPr="00E80661">
        <w:t xml:space="preserve"> to transform political declarations into </w:t>
      </w:r>
      <w:r w:rsidR="00A91A97" w:rsidRPr="00E80661">
        <w:t xml:space="preserve">tangible </w:t>
      </w:r>
      <w:r w:rsidRPr="00E80661">
        <w:t xml:space="preserve">initiatives supporting administrative reform and facilitating regional cooperation between the EU and Ukrainian regions and municipalities.  </w:t>
      </w:r>
    </w:p>
    <w:p w14:paraId="5C55BDBD" w14:textId="77777777" w:rsidR="00711657" w:rsidRPr="00E80661" w:rsidRDefault="00711657" w:rsidP="00711657"/>
    <w:p w14:paraId="5C55BDBE" w14:textId="77777777" w:rsidR="00711657" w:rsidRPr="00E80661" w:rsidRDefault="00711657" w:rsidP="00707FB6">
      <w:pPr>
        <w:numPr>
          <w:ilvl w:val="1"/>
          <w:numId w:val="1"/>
        </w:numPr>
        <w:outlineLvl w:val="1"/>
        <w:rPr>
          <w:b/>
          <w:szCs w:val="22"/>
        </w:rPr>
      </w:pPr>
      <w:bookmarkStart w:id="114" w:name="_Toc486243300"/>
      <w:bookmarkStart w:id="115" w:name="_Toc485373851"/>
      <w:r w:rsidRPr="00E80661">
        <w:rPr>
          <w:b/>
          <w:szCs w:val="22"/>
        </w:rPr>
        <w:t>Southern Neighbourhood</w:t>
      </w:r>
      <w:bookmarkEnd w:id="114"/>
      <w:bookmarkEnd w:id="115"/>
    </w:p>
    <w:p w14:paraId="5C55BDBF" w14:textId="77777777" w:rsidR="0056513A" w:rsidRPr="00E80661" w:rsidRDefault="0056513A" w:rsidP="005B2CFF">
      <w:pPr>
        <w:rPr>
          <w:szCs w:val="22"/>
        </w:rPr>
      </w:pPr>
    </w:p>
    <w:p w14:paraId="5C55BDC0" w14:textId="09EEA7BF" w:rsidR="003503E6" w:rsidRPr="00E80661" w:rsidRDefault="000B0151" w:rsidP="003503E6">
      <w:pPr>
        <w:rPr>
          <w:szCs w:val="22"/>
        </w:rPr>
      </w:pPr>
      <w:r w:rsidRPr="00E80661">
        <w:rPr>
          <w:rFonts w:eastAsia="Calibri"/>
          <w:szCs w:val="22"/>
        </w:rPr>
        <w:t xml:space="preserve">The </w:t>
      </w:r>
      <w:r w:rsidRPr="00644601">
        <w:rPr>
          <w:rStyle w:val="st1"/>
        </w:rPr>
        <w:t xml:space="preserve">Euro-Mediterranean Regional and Local Assembly (ARLEM) </w:t>
      </w:r>
      <w:r w:rsidR="00A91A97" w:rsidRPr="00E80661">
        <w:rPr>
          <w:rStyle w:val="st1"/>
        </w:rPr>
        <w:t xml:space="preserve">was actively involved in </w:t>
      </w:r>
      <w:r w:rsidR="00AB2D70" w:rsidRPr="00E80661">
        <w:rPr>
          <w:rStyle w:val="st1"/>
        </w:rPr>
        <w:t xml:space="preserve">the process of preparing </w:t>
      </w:r>
      <w:r w:rsidR="00500B9D" w:rsidRPr="00E80661">
        <w:rPr>
          <w:rFonts w:eastAsia="Calibri"/>
          <w:szCs w:val="22"/>
        </w:rPr>
        <w:t>the Union for the Mediterranean's</w:t>
      </w:r>
      <w:r w:rsidR="00177055" w:rsidRPr="00E80661">
        <w:rPr>
          <w:rFonts w:eastAsia="Calibri"/>
          <w:szCs w:val="22"/>
        </w:rPr>
        <w:t xml:space="preserve"> (UfM)</w:t>
      </w:r>
      <w:r w:rsidR="00500B9D" w:rsidRPr="00E80661">
        <w:rPr>
          <w:rFonts w:eastAsia="Calibri"/>
          <w:szCs w:val="22"/>
        </w:rPr>
        <w:t xml:space="preserve"> Ministerial Meeting on Regional Cooperation and Planning as well as through interventions by the representative of Libya in the preparatory ad hoc </w:t>
      </w:r>
      <w:r w:rsidRPr="00E80661">
        <w:rPr>
          <w:rFonts w:eastAsia="Calibri"/>
          <w:szCs w:val="22"/>
        </w:rPr>
        <w:t xml:space="preserve">Senior Officials Meeting (SOM). Thanks to these efforts, </w:t>
      </w:r>
      <w:r w:rsidR="00500B9D" w:rsidRPr="00E80661">
        <w:rPr>
          <w:rFonts w:eastAsia="Calibri"/>
          <w:szCs w:val="22"/>
        </w:rPr>
        <w:t xml:space="preserve">local authorities and their successful engagement in regional dialogue efforts were mentioned in the declaration adopted by ministers of all UfM </w:t>
      </w:r>
      <w:r w:rsidR="00AB2D70" w:rsidRPr="00E80661">
        <w:rPr>
          <w:rFonts w:eastAsia="Calibri"/>
          <w:szCs w:val="22"/>
        </w:rPr>
        <w:t>M</w:t>
      </w:r>
      <w:r w:rsidR="00500B9D" w:rsidRPr="00E80661">
        <w:rPr>
          <w:rFonts w:eastAsia="Calibri"/>
          <w:szCs w:val="22"/>
        </w:rPr>
        <w:t xml:space="preserve">ember </w:t>
      </w:r>
      <w:r w:rsidR="00AB2D70" w:rsidRPr="00E80661">
        <w:rPr>
          <w:rFonts w:eastAsia="Calibri"/>
          <w:szCs w:val="22"/>
        </w:rPr>
        <w:t>S</w:t>
      </w:r>
      <w:r w:rsidR="00500B9D" w:rsidRPr="00E80661">
        <w:rPr>
          <w:rFonts w:eastAsia="Calibri"/>
          <w:szCs w:val="22"/>
        </w:rPr>
        <w:t>tates.</w:t>
      </w:r>
    </w:p>
    <w:p w14:paraId="5C55BDC1" w14:textId="77777777" w:rsidR="0042581A" w:rsidRPr="00E80661" w:rsidRDefault="0042581A" w:rsidP="005B2CFF">
      <w:pPr>
        <w:rPr>
          <w:szCs w:val="22"/>
        </w:rPr>
      </w:pPr>
    </w:p>
    <w:p w14:paraId="5C55BDC2" w14:textId="32D7CFA6" w:rsidR="00E24A1B" w:rsidRPr="00E80661" w:rsidRDefault="00E24A1B" w:rsidP="005B2CFF">
      <w:pPr>
        <w:rPr>
          <w:szCs w:val="22"/>
        </w:rPr>
      </w:pPr>
      <w:r w:rsidRPr="00E80661">
        <w:rPr>
          <w:rFonts w:eastAsia="Calibri"/>
          <w:szCs w:val="22"/>
        </w:rPr>
        <w:t xml:space="preserve">The </w:t>
      </w:r>
      <w:r w:rsidRPr="00E80661">
        <w:t xml:space="preserve">Nicosia Initiative, launched by the CoR in 2016 as a capacity building programme aiming at strengthening Libyan municipalities and promoting their networking and cooperation with European regions, received direct </w:t>
      </w:r>
      <w:r w:rsidR="00AB2D70" w:rsidRPr="00E80661">
        <w:t xml:space="preserve">recognition </w:t>
      </w:r>
      <w:r w:rsidRPr="00E80661">
        <w:t xml:space="preserve">from Vice-President </w:t>
      </w:r>
      <w:r w:rsidR="00AB2D70" w:rsidRPr="00E80661">
        <w:t xml:space="preserve">Federica </w:t>
      </w:r>
      <w:r w:rsidRPr="00E80661">
        <w:t>Mogherini and Commissioner Hahn, who jointly encouraged the CoR to further develop the initiative.</w:t>
      </w:r>
    </w:p>
    <w:p w14:paraId="5C55BDC3" w14:textId="142437AF" w:rsidR="000B6871" w:rsidRPr="00E80661" w:rsidRDefault="000B6871">
      <w:pPr>
        <w:overflowPunct/>
        <w:autoSpaceDE/>
        <w:autoSpaceDN/>
        <w:adjustRightInd/>
        <w:spacing w:line="240" w:lineRule="auto"/>
        <w:jc w:val="left"/>
        <w:textAlignment w:val="auto"/>
        <w:rPr>
          <w:b/>
          <w:szCs w:val="22"/>
        </w:rPr>
      </w:pPr>
      <w:r w:rsidRPr="00E80661">
        <w:rPr>
          <w:b/>
          <w:szCs w:val="22"/>
        </w:rPr>
        <w:br w:type="page"/>
      </w:r>
    </w:p>
    <w:p w14:paraId="5C55BDC8" w14:textId="77777777" w:rsidR="00383150" w:rsidRPr="00E80661" w:rsidRDefault="00AA127F" w:rsidP="00644601">
      <w:pPr>
        <w:pStyle w:val="Heading1"/>
        <w:numPr>
          <w:ilvl w:val="0"/>
          <w:numId w:val="0"/>
        </w:numPr>
        <w:rPr>
          <w:b/>
          <w:szCs w:val="22"/>
          <w:u w:val="single"/>
        </w:rPr>
      </w:pPr>
      <w:bookmarkStart w:id="116" w:name="_Toc386201088"/>
      <w:bookmarkStart w:id="117" w:name="_Toc418860778"/>
      <w:bookmarkStart w:id="118" w:name="_Toc486243301"/>
      <w:bookmarkStart w:id="119" w:name="_Toc485373852"/>
      <w:r w:rsidRPr="00E80661">
        <w:rPr>
          <w:b/>
          <w:szCs w:val="22"/>
          <w:u w:val="single"/>
        </w:rPr>
        <w:t>Appendix</w:t>
      </w:r>
      <w:r w:rsidR="00383150" w:rsidRPr="00E80661">
        <w:rPr>
          <w:b/>
          <w:szCs w:val="22"/>
          <w:u w:val="single"/>
        </w:rPr>
        <w:t xml:space="preserve"> - List of CoR opinions with impact in </w:t>
      </w:r>
      <w:bookmarkEnd w:id="116"/>
      <w:bookmarkEnd w:id="117"/>
      <w:r w:rsidR="0067702D" w:rsidRPr="00E80661">
        <w:rPr>
          <w:b/>
          <w:szCs w:val="22"/>
          <w:u w:val="single"/>
        </w:rPr>
        <w:t>2016</w:t>
      </w:r>
      <w:bookmarkEnd w:id="118"/>
      <w:bookmarkEnd w:id="119"/>
    </w:p>
    <w:p w14:paraId="5C55BDC9" w14:textId="77777777" w:rsidR="00383150" w:rsidRPr="00E80661" w:rsidRDefault="00383150" w:rsidP="005B2CFF">
      <w:pPr>
        <w:rPr>
          <w:webHidden/>
          <w:szCs w:val="22"/>
        </w:rPr>
      </w:pPr>
    </w:p>
    <w:p w14:paraId="5C55BDCA" w14:textId="77777777" w:rsidR="00383150" w:rsidRPr="00E80661" w:rsidRDefault="00383150" w:rsidP="00644601">
      <w:pPr>
        <w:pStyle w:val="Heading3"/>
        <w:numPr>
          <w:ilvl w:val="0"/>
          <w:numId w:val="0"/>
        </w:numPr>
        <w:ind w:left="720"/>
        <w:rPr>
          <w:szCs w:val="22"/>
        </w:rPr>
      </w:pPr>
      <w:bookmarkStart w:id="120" w:name="_Toc386201090"/>
      <w:bookmarkStart w:id="121" w:name="_Toc418860779"/>
      <w:bookmarkStart w:id="122" w:name="_Toc486243302"/>
      <w:bookmarkStart w:id="123" w:name="_Toc485373853"/>
      <w:r w:rsidRPr="00E80661">
        <w:rPr>
          <w:szCs w:val="22"/>
        </w:rPr>
        <w:t>CIVEX</w:t>
      </w:r>
      <w:bookmarkEnd w:id="120"/>
      <w:bookmarkEnd w:id="121"/>
      <w:r w:rsidR="00AA127F" w:rsidRPr="00E80661">
        <w:rPr>
          <w:szCs w:val="22"/>
        </w:rPr>
        <w:t xml:space="preserve"> Commission</w:t>
      </w:r>
      <w:bookmarkEnd w:id="122"/>
      <w:bookmarkEnd w:id="123"/>
    </w:p>
    <w:p w14:paraId="5C55BDCB" w14:textId="77777777" w:rsidR="001D08E3" w:rsidRPr="00E80661" w:rsidRDefault="001D08E3" w:rsidP="00E24A1B">
      <w:pPr>
        <w:pStyle w:val="ListParagraph"/>
        <w:numPr>
          <w:ilvl w:val="0"/>
          <w:numId w:val="10"/>
        </w:numPr>
        <w:rPr>
          <w:szCs w:val="22"/>
        </w:rPr>
      </w:pPr>
      <w:r w:rsidRPr="00E80661">
        <w:rPr>
          <w:szCs w:val="22"/>
        </w:rPr>
        <w:t xml:space="preserve">CIVEX-VI/011 - Review of the European Neighbourhood Policy </w:t>
      </w:r>
    </w:p>
    <w:p w14:paraId="5C55BDCC" w14:textId="77777777" w:rsidR="001D08E3" w:rsidRPr="00E80661" w:rsidRDefault="007E18BD" w:rsidP="00644601">
      <w:pPr>
        <w:pStyle w:val="ListParagraph"/>
        <w:numPr>
          <w:ilvl w:val="0"/>
          <w:numId w:val="10"/>
        </w:numPr>
        <w:rPr>
          <w:szCs w:val="22"/>
        </w:rPr>
      </w:pPr>
      <w:r w:rsidRPr="00E80661">
        <w:rPr>
          <w:szCs w:val="22"/>
        </w:rPr>
        <w:t xml:space="preserve">CIVEX-VI/010 - </w:t>
      </w:r>
      <w:r w:rsidR="001D08E3" w:rsidRPr="00E80661">
        <w:rPr>
          <w:szCs w:val="22"/>
        </w:rPr>
        <w:t xml:space="preserve">Combatting Radicalisation and Violent Extremism: Prevention mechanisms at local and regional level </w:t>
      </w:r>
    </w:p>
    <w:p w14:paraId="5C55BDCD" w14:textId="1C45D086" w:rsidR="00317A05" w:rsidRPr="00E80661" w:rsidRDefault="001D08E3" w:rsidP="00644601">
      <w:pPr>
        <w:pStyle w:val="ListParagraph"/>
        <w:numPr>
          <w:ilvl w:val="0"/>
          <w:numId w:val="11"/>
        </w:numPr>
        <w:rPr>
          <w:szCs w:val="22"/>
        </w:rPr>
      </w:pPr>
      <w:r w:rsidRPr="00E80661">
        <w:rPr>
          <w:szCs w:val="22"/>
        </w:rPr>
        <w:t>CIVEX-VI/009 - Protection of refugees in their areas of origin: a new perspective</w:t>
      </w:r>
    </w:p>
    <w:p w14:paraId="1F7236DE" w14:textId="5B03A163" w:rsidR="00FF0E0D" w:rsidRPr="00E80661" w:rsidRDefault="00FF0E0D" w:rsidP="00644601">
      <w:pPr>
        <w:pStyle w:val="ListParagraph"/>
        <w:numPr>
          <w:ilvl w:val="0"/>
          <w:numId w:val="11"/>
        </w:numPr>
        <w:rPr>
          <w:szCs w:val="22"/>
        </w:rPr>
      </w:pPr>
      <w:r w:rsidRPr="00E80661">
        <w:rPr>
          <w:szCs w:val="22"/>
        </w:rPr>
        <w:t xml:space="preserve">CIVEX-VI/013 - </w:t>
      </w:r>
      <w:r w:rsidRPr="00E80661">
        <w:t>Reform of the Common European Asylum System</w:t>
      </w:r>
    </w:p>
    <w:p w14:paraId="355CE8B0" w14:textId="11EED1CA" w:rsidR="00FF0E0D" w:rsidRPr="00E80661" w:rsidRDefault="00FF0E0D" w:rsidP="00644601">
      <w:pPr>
        <w:pStyle w:val="ListParagraph"/>
        <w:numPr>
          <w:ilvl w:val="0"/>
          <w:numId w:val="11"/>
        </w:numPr>
        <w:rPr>
          <w:szCs w:val="22"/>
        </w:rPr>
      </w:pPr>
      <w:r w:rsidRPr="00E80661">
        <w:t>CIVEX-VI/017 - Reform of the Common European Asylum System – Package II and Union Resettlement Framework</w:t>
      </w:r>
    </w:p>
    <w:p w14:paraId="5C55BDCE" w14:textId="77777777" w:rsidR="00EE104B" w:rsidRPr="00E80661" w:rsidRDefault="00EE104B" w:rsidP="005B2CFF">
      <w:pPr>
        <w:rPr>
          <w:szCs w:val="22"/>
        </w:rPr>
      </w:pPr>
      <w:bookmarkStart w:id="124" w:name="_Toc386201091"/>
      <w:bookmarkStart w:id="125" w:name="_Toc418860780"/>
    </w:p>
    <w:p w14:paraId="5C55BDCF" w14:textId="77777777" w:rsidR="00383150" w:rsidRPr="00E80661" w:rsidRDefault="00383150" w:rsidP="00644601">
      <w:pPr>
        <w:pStyle w:val="Heading3"/>
        <w:numPr>
          <w:ilvl w:val="0"/>
          <w:numId w:val="0"/>
        </w:numPr>
        <w:ind w:left="720"/>
        <w:rPr>
          <w:szCs w:val="22"/>
        </w:rPr>
      </w:pPr>
      <w:bookmarkStart w:id="126" w:name="_Toc486243303"/>
      <w:bookmarkStart w:id="127" w:name="_Toc485373854"/>
      <w:r w:rsidRPr="00E80661">
        <w:rPr>
          <w:szCs w:val="22"/>
        </w:rPr>
        <w:t>COTER</w:t>
      </w:r>
      <w:bookmarkEnd w:id="124"/>
      <w:bookmarkEnd w:id="125"/>
      <w:r w:rsidR="00AA127F" w:rsidRPr="00E80661">
        <w:rPr>
          <w:szCs w:val="22"/>
        </w:rPr>
        <w:t xml:space="preserve"> Commission</w:t>
      </w:r>
      <w:bookmarkEnd w:id="126"/>
      <w:bookmarkEnd w:id="127"/>
    </w:p>
    <w:p w14:paraId="5C55BDD0" w14:textId="77777777" w:rsidR="001D08E3" w:rsidRPr="00E80661" w:rsidRDefault="001D08E3" w:rsidP="00E24A1B">
      <w:pPr>
        <w:pStyle w:val="ListParagraph"/>
        <w:numPr>
          <w:ilvl w:val="0"/>
          <w:numId w:val="8"/>
        </w:numPr>
        <w:rPr>
          <w:szCs w:val="22"/>
        </w:rPr>
      </w:pPr>
      <w:bookmarkStart w:id="128" w:name="_Toc384136505"/>
      <w:bookmarkStart w:id="129" w:name="_Toc442104060"/>
      <w:r w:rsidRPr="00E80661">
        <w:rPr>
          <w:szCs w:val="22"/>
        </w:rPr>
        <w:t>COTER-V-036 - The Fourth railway package</w:t>
      </w:r>
    </w:p>
    <w:p w14:paraId="5C55BDD1" w14:textId="77777777" w:rsidR="001D08E3" w:rsidRPr="00E80661" w:rsidRDefault="001D08E3" w:rsidP="00644601">
      <w:pPr>
        <w:pStyle w:val="ListParagraph"/>
        <w:numPr>
          <w:ilvl w:val="0"/>
          <w:numId w:val="8"/>
        </w:numPr>
        <w:rPr>
          <w:szCs w:val="22"/>
        </w:rPr>
      </w:pPr>
      <w:r w:rsidRPr="00E80661">
        <w:rPr>
          <w:szCs w:val="22"/>
        </w:rPr>
        <w:t xml:space="preserve">COTER-V-041 </w:t>
      </w:r>
      <w:r w:rsidR="009E5E15" w:rsidRPr="00E80661">
        <w:rPr>
          <w:szCs w:val="22"/>
        </w:rPr>
        <w:t>-</w:t>
      </w:r>
      <w:r w:rsidRPr="00E80661">
        <w:rPr>
          <w:szCs w:val="22"/>
        </w:rPr>
        <w:t xml:space="preserve"> Framework on future EU ports policy </w:t>
      </w:r>
    </w:p>
    <w:p w14:paraId="5C55BDD2" w14:textId="77777777" w:rsidR="001D08E3" w:rsidRPr="00E80661" w:rsidRDefault="009E5E15" w:rsidP="00644601">
      <w:pPr>
        <w:pStyle w:val="ListParagraph"/>
        <w:numPr>
          <w:ilvl w:val="0"/>
          <w:numId w:val="8"/>
        </w:numPr>
        <w:rPr>
          <w:szCs w:val="22"/>
        </w:rPr>
      </w:pPr>
      <w:r w:rsidRPr="00E80661">
        <w:rPr>
          <w:szCs w:val="22"/>
        </w:rPr>
        <w:t>COTER-V-046 -</w:t>
      </w:r>
      <w:r w:rsidR="001D08E3" w:rsidRPr="00E80661">
        <w:rPr>
          <w:szCs w:val="22"/>
        </w:rPr>
        <w:t xml:space="preserve"> Towards an Integrated Urban Agenda for the EU </w:t>
      </w:r>
    </w:p>
    <w:p w14:paraId="5C55BDD3" w14:textId="77777777" w:rsidR="001D08E3" w:rsidRPr="00E80661" w:rsidRDefault="001D08E3" w:rsidP="00644601">
      <w:pPr>
        <w:pStyle w:val="ListParagraph"/>
        <w:numPr>
          <w:ilvl w:val="0"/>
          <w:numId w:val="8"/>
        </w:numPr>
        <w:rPr>
          <w:szCs w:val="22"/>
        </w:rPr>
      </w:pPr>
      <w:r w:rsidRPr="00E80661">
        <w:rPr>
          <w:szCs w:val="22"/>
        </w:rPr>
        <w:t>COTER-VI-003 - Investment Plan and European Fund for Strategic Investments</w:t>
      </w:r>
    </w:p>
    <w:p w14:paraId="5C55BDD4" w14:textId="77777777" w:rsidR="001D08E3" w:rsidRPr="00E80661" w:rsidRDefault="001D08E3" w:rsidP="00644601">
      <w:pPr>
        <w:pStyle w:val="ListParagraph"/>
        <w:numPr>
          <w:ilvl w:val="0"/>
          <w:numId w:val="8"/>
        </w:numPr>
        <w:rPr>
          <w:szCs w:val="22"/>
        </w:rPr>
      </w:pPr>
      <w:r w:rsidRPr="00E80661">
        <w:rPr>
          <w:szCs w:val="22"/>
        </w:rPr>
        <w:t>COTER-VI-007 - Strengthening Cross-border Cooperation</w:t>
      </w:r>
    </w:p>
    <w:p w14:paraId="16A78776" w14:textId="3D5D6784" w:rsidR="001D5C8E" w:rsidRPr="00E80661" w:rsidRDefault="001D5C8E" w:rsidP="00E24A1B">
      <w:pPr>
        <w:pStyle w:val="ListParagraph"/>
        <w:numPr>
          <w:ilvl w:val="0"/>
          <w:numId w:val="8"/>
        </w:numPr>
        <w:rPr>
          <w:szCs w:val="22"/>
        </w:rPr>
      </w:pPr>
      <w:r w:rsidRPr="00E80661">
        <w:rPr>
          <w:szCs w:val="22"/>
        </w:rPr>
        <w:t xml:space="preserve">COTER-VI-008 - Territorial vision 2050 – What </w:t>
      </w:r>
      <w:r w:rsidR="00314D04">
        <w:rPr>
          <w:szCs w:val="22"/>
        </w:rPr>
        <w:t>f</w:t>
      </w:r>
      <w:r w:rsidRPr="00E80661">
        <w:rPr>
          <w:szCs w:val="22"/>
        </w:rPr>
        <w:t>uture?</w:t>
      </w:r>
    </w:p>
    <w:p w14:paraId="5C55BDD5" w14:textId="77777777" w:rsidR="001D08E3" w:rsidRPr="00E80661" w:rsidRDefault="001D08E3" w:rsidP="00644601">
      <w:pPr>
        <w:pStyle w:val="ListParagraph"/>
        <w:numPr>
          <w:ilvl w:val="0"/>
          <w:numId w:val="8"/>
        </w:numPr>
        <w:rPr>
          <w:szCs w:val="22"/>
        </w:rPr>
      </w:pPr>
      <w:r w:rsidRPr="00E80661">
        <w:rPr>
          <w:szCs w:val="22"/>
        </w:rPr>
        <w:t xml:space="preserve">COTER-VI/009 </w:t>
      </w:r>
      <w:r w:rsidR="009E5E15" w:rsidRPr="00E80661">
        <w:rPr>
          <w:szCs w:val="22"/>
        </w:rPr>
        <w:t xml:space="preserve">- </w:t>
      </w:r>
      <w:r w:rsidRPr="00E80661">
        <w:rPr>
          <w:szCs w:val="22"/>
        </w:rPr>
        <w:t>Indicators for territorial development – GDP and beyond</w:t>
      </w:r>
    </w:p>
    <w:p w14:paraId="5C55BDD6" w14:textId="77777777" w:rsidR="001D08E3" w:rsidRPr="00E80661" w:rsidRDefault="001D08E3" w:rsidP="00644601">
      <w:pPr>
        <w:pStyle w:val="ListParagraph"/>
        <w:numPr>
          <w:ilvl w:val="0"/>
          <w:numId w:val="8"/>
        </w:numPr>
        <w:rPr>
          <w:szCs w:val="22"/>
        </w:rPr>
      </w:pPr>
      <w:r w:rsidRPr="00E80661">
        <w:rPr>
          <w:szCs w:val="22"/>
        </w:rPr>
        <w:t xml:space="preserve">COTER-VI/010 </w:t>
      </w:r>
      <w:r w:rsidR="009E5E15" w:rsidRPr="00E80661">
        <w:rPr>
          <w:szCs w:val="22"/>
        </w:rPr>
        <w:t xml:space="preserve">- </w:t>
      </w:r>
      <w:r w:rsidRPr="00E80661">
        <w:rPr>
          <w:szCs w:val="22"/>
        </w:rPr>
        <w:t xml:space="preserve">Concrete steps for implementing the EU Urban Agenda  </w:t>
      </w:r>
    </w:p>
    <w:p w14:paraId="5C55BDD7" w14:textId="77777777" w:rsidR="001D08E3" w:rsidRPr="00E80661" w:rsidRDefault="001D08E3" w:rsidP="00644601">
      <w:pPr>
        <w:pStyle w:val="ListParagraph"/>
        <w:numPr>
          <w:ilvl w:val="0"/>
          <w:numId w:val="8"/>
        </w:numPr>
        <w:rPr>
          <w:szCs w:val="22"/>
        </w:rPr>
      </w:pPr>
      <w:r w:rsidRPr="00E80661">
        <w:rPr>
          <w:szCs w:val="22"/>
        </w:rPr>
        <w:t xml:space="preserve">RESOL-VI/011 </w:t>
      </w:r>
      <w:r w:rsidR="009E5E15" w:rsidRPr="00E80661">
        <w:rPr>
          <w:szCs w:val="22"/>
        </w:rPr>
        <w:t xml:space="preserve">- </w:t>
      </w:r>
      <w:r w:rsidRPr="00E80661">
        <w:rPr>
          <w:szCs w:val="22"/>
        </w:rPr>
        <w:t xml:space="preserve">Resolution on the Draft Annual EU budget for 2017  </w:t>
      </w:r>
    </w:p>
    <w:p w14:paraId="5C55BDD8" w14:textId="77777777" w:rsidR="001D08E3" w:rsidRPr="00E80661" w:rsidRDefault="001D08E3" w:rsidP="00644601">
      <w:pPr>
        <w:pStyle w:val="ListParagraph"/>
        <w:numPr>
          <w:ilvl w:val="0"/>
          <w:numId w:val="8"/>
        </w:numPr>
        <w:rPr>
          <w:szCs w:val="22"/>
        </w:rPr>
      </w:pPr>
      <w:r w:rsidRPr="00E80661">
        <w:rPr>
          <w:szCs w:val="22"/>
        </w:rPr>
        <w:t xml:space="preserve">COTER-VI/012 </w:t>
      </w:r>
      <w:r w:rsidR="009E5E15" w:rsidRPr="00E80661">
        <w:rPr>
          <w:szCs w:val="22"/>
        </w:rPr>
        <w:t xml:space="preserve">- </w:t>
      </w:r>
      <w:r w:rsidRPr="00E80661">
        <w:rPr>
          <w:szCs w:val="22"/>
        </w:rPr>
        <w:t xml:space="preserve">Simplification of ESIF from the perspective of Local and Regional Authorities  </w:t>
      </w:r>
    </w:p>
    <w:p w14:paraId="5C55BDD9" w14:textId="77777777" w:rsidR="001D08E3" w:rsidRPr="00E80661" w:rsidRDefault="001D08E3" w:rsidP="00644601">
      <w:pPr>
        <w:pStyle w:val="ListParagraph"/>
        <w:numPr>
          <w:ilvl w:val="0"/>
          <w:numId w:val="8"/>
        </w:numPr>
        <w:rPr>
          <w:szCs w:val="22"/>
        </w:rPr>
      </w:pPr>
      <w:r w:rsidRPr="00E80661">
        <w:rPr>
          <w:szCs w:val="22"/>
        </w:rPr>
        <w:t xml:space="preserve">COTER-VI/014 </w:t>
      </w:r>
      <w:r w:rsidR="009E5E15" w:rsidRPr="00E80661">
        <w:rPr>
          <w:szCs w:val="22"/>
        </w:rPr>
        <w:t xml:space="preserve">- </w:t>
      </w:r>
      <w:r w:rsidRPr="00E80661">
        <w:rPr>
          <w:szCs w:val="22"/>
        </w:rPr>
        <w:t xml:space="preserve">Mid-term revision of the Multiannual Financial Framework (MFF)  </w:t>
      </w:r>
    </w:p>
    <w:p w14:paraId="5C55BDDA" w14:textId="77777777" w:rsidR="00BF0E16" w:rsidRPr="00E80661" w:rsidRDefault="001D08E3" w:rsidP="00644601">
      <w:pPr>
        <w:pStyle w:val="ListParagraph"/>
        <w:numPr>
          <w:ilvl w:val="0"/>
          <w:numId w:val="9"/>
        </w:numPr>
        <w:rPr>
          <w:szCs w:val="22"/>
        </w:rPr>
      </w:pPr>
      <w:r w:rsidRPr="00E80661">
        <w:rPr>
          <w:szCs w:val="22"/>
        </w:rPr>
        <w:t xml:space="preserve">COTER-VI/016 </w:t>
      </w:r>
      <w:r w:rsidR="009E5E15" w:rsidRPr="00E80661">
        <w:rPr>
          <w:szCs w:val="22"/>
        </w:rPr>
        <w:t xml:space="preserve">- </w:t>
      </w:r>
      <w:r w:rsidRPr="00E80661">
        <w:rPr>
          <w:szCs w:val="22"/>
        </w:rPr>
        <w:t xml:space="preserve">Missing transport links in border regions  </w:t>
      </w:r>
      <w:bookmarkEnd w:id="128"/>
      <w:bookmarkEnd w:id="129"/>
    </w:p>
    <w:p w14:paraId="5C55BDDB" w14:textId="77777777" w:rsidR="00383150" w:rsidRPr="00E80661" w:rsidRDefault="00383150" w:rsidP="005B2CFF">
      <w:pPr>
        <w:rPr>
          <w:szCs w:val="22"/>
        </w:rPr>
      </w:pPr>
      <w:bookmarkStart w:id="130" w:name="_Toc386201092"/>
    </w:p>
    <w:p w14:paraId="5C55BDDC" w14:textId="77777777" w:rsidR="00383150" w:rsidRPr="00E80661" w:rsidRDefault="00383150" w:rsidP="00644601">
      <w:pPr>
        <w:pStyle w:val="Heading3"/>
        <w:numPr>
          <w:ilvl w:val="0"/>
          <w:numId w:val="0"/>
        </w:numPr>
        <w:ind w:left="720"/>
        <w:rPr>
          <w:szCs w:val="22"/>
        </w:rPr>
      </w:pPr>
      <w:bookmarkStart w:id="131" w:name="_Toc418860781"/>
      <w:bookmarkStart w:id="132" w:name="_Toc486243304"/>
      <w:bookmarkStart w:id="133" w:name="_Toc485373855"/>
      <w:r w:rsidRPr="00E80661">
        <w:rPr>
          <w:szCs w:val="22"/>
        </w:rPr>
        <w:t>ECON</w:t>
      </w:r>
      <w:bookmarkEnd w:id="131"/>
      <w:r w:rsidR="00AA127F" w:rsidRPr="00E80661">
        <w:rPr>
          <w:szCs w:val="22"/>
        </w:rPr>
        <w:t xml:space="preserve"> Commission</w:t>
      </w:r>
      <w:bookmarkEnd w:id="132"/>
      <w:bookmarkEnd w:id="133"/>
    </w:p>
    <w:p w14:paraId="5C55BDDD" w14:textId="77777777" w:rsidR="00A87465" w:rsidRPr="00E80661" w:rsidRDefault="00A87465" w:rsidP="00E24A1B">
      <w:pPr>
        <w:pStyle w:val="ListParagraph"/>
        <w:numPr>
          <w:ilvl w:val="0"/>
          <w:numId w:val="6"/>
        </w:numPr>
        <w:rPr>
          <w:szCs w:val="22"/>
        </w:rPr>
      </w:pPr>
      <w:bookmarkStart w:id="134" w:name="_Toc441224712"/>
      <w:r w:rsidRPr="00E80661">
        <w:rPr>
          <w:szCs w:val="22"/>
        </w:rPr>
        <w:t>ECON-VI/005</w:t>
      </w:r>
      <w:r w:rsidR="009E5E15" w:rsidRPr="00E80661">
        <w:rPr>
          <w:szCs w:val="22"/>
        </w:rPr>
        <w:t xml:space="preserve"> -</w:t>
      </w:r>
      <w:r w:rsidRPr="00E80661">
        <w:rPr>
          <w:szCs w:val="22"/>
        </w:rPr>
        <w:t xml:space="preserve"> The local and regional dimension of the sharing economy</w:t>
      </w:r>
    </w:p>
    <w:p w14:paraId="5C55BDDE" w14:textId="77777777" w:rsidR="00A87465" w:rsidRPr="00E80661" w:rsidRDefault="00A87465" w:rsidP="00644601">
      <w:pPr>
        <w:pStyle w:val="ListParagraph"/>
        <w:numPr>
          <w:ilvl w:val="0"/>
          <w:numId w:val="6"/>
        </w:numPr>
        <w:rPr>
          <w:szCs w:val="22"/>
        </w:rPr>
      </w:pPr>
      <w:r w:rsidRPr="00E80661">
        <w:rPr>
          <w:szCs w:val="22"/>
        </w:rPr>
        <w:t>ECON-VI/008</w:t>
      </w:r>
      <w:r w:rsidR="009E5E15" w:rsidRPr="00E80661">
        <w:rPr>
          <w:szCs w:val="22"/>
        </w:rPr>
        <w:t xml:space="preserve"> -</w:t>
      </w:r>
      <w:r w:rsidRPr="00E80661">
        <w:rPr>
          <w:szCs w:val="22"/>
        </w:rPr>
        <w:t xml:space="preserve"> Follow-up to the Five Presidents' report: completing Europe's Economic and Monetary Union </w:t>
      </w:r>
    </w:p>
    <w:p w14:paraId="5C55BDDF" w14:textId="77777777" w:rsidR="00A87465" w:rsidRPr="00E80661" w:rsidRDefault="00A87465" w:rsidP="00644601">
      <w:pPr>
        <w:pStyle w:val="ListParagraph"/>
        <w:numPr>
          <w:ilvl w:val="0"/>
          <w:numId w:val="6"/>
        </w:numPr>
        <w:rPr>
          <w:szCs w:val="22"/>
        </w:rPr>
      </w:pPr>
      <w:r w:rsidRPr="00E80661">
        <w:rPr>
          <w:szCs w:val="22"/>
        </w:rPr>
        <w:t>ECON-VI/010</w:t>
      </w:r>
      <w:r w:rsidR="009E5E15" w:rsidRPr="00E80661">
        <w:rPr>
          <w:szCs w:val="22"/>
        </w:rPr>
        <w:t xml:space="preserve"> -</w:t>
      </w:r>
      <w:r w:rsidRPr="00E80661">
        <w:rPr>
          <w:szCs w:val="22"/>
        </w:rPr>
        <w:t xml:space="preserve"> Upgrading the Single Market </w:t>
      </w:r>
    </w:p>
    <w:p w14:paraId="5C55BDE0" w14:textId="4A6F17DE" w:rsidR="00A87465" w:rsidRPr="00E80661" w:rsidRDefault="00A87465" w:rsidP="00644601">
      <w:pPr>
        <w:pStyle w:val="ListParagraph"/>
        <w:numPr>
          <w:ilvl w:val="0"/>
          <w:numId w:val="6"/>
        </w:numPr>
        <w:rPr>
          <w:szCs w:val="22"/>
        </w:rPr>
      </w:pPr>
      <w:r w:rsidRPr="00E80661">
        <w:rPr>
          <w:szCs w:val="22"/>
        </w:rPr>
        <w:t>ECON-VI/0</w:t>
      </w:r>
      <w:r w:rsidR="009E5E15" w:rsidRPr="00E80661">
        <w:rPr>
          <w:szCs w:val="22"/>
        </w:rPr>
        <w:t>1</w:t>
      </w:r>
      <w:r w:rsidRPr="00E80661">
        <w:rPr>
          <w:szCs w:val="22"/>
        </w:rPr>
        <w:t>1</w:t>
      </w:r>
      <w:r w:rsidR="009E5E15" w:rsidRPr="00E80661">
        <w:rPr>
          <w:szCs w:val="22"/>
        </w:rPr>
        <w:t xml:space="preserve"> -</w:t>
      </w:r>
      <w:r w:rsidRPr="00E80661">
        <w:rPr>
          <w:szCs w:val="22"/>
        </w:rPr>
        <w:t xml:space="preserve"> </w:t>
      </w:r>
      <w:r w:rsidR="00314D04" w:rsidRPr="00314D04">
        <w:t>Structural Reform Support Programme for the period 2017 to 2020</w:t>
      </w:r>
    </w:p>
    <w:p w14:paraId="5C55BDE1" w14:textId="77777777" w:rsidR="00A87465" w:rsidRPr="00E80661" w:rsidRDefault="00A87465" w:rsidP="00644601">
      <w:pPr>
        <w:pStyle w:val="ListParagraph"/>
        <w:numPr>
          <w:ilvl w:val="0"/>
          <w:numId w:val="6"/>
        </w:numPr>
        <w:rPr>
          <w:szCs w:val="22"/>
        </w:rPr>
      </w:pPr>
      <w:r w:rsidRPr="00E80661">
        <w:rPr>
          <w:szCs w:val="22"/>
        </w:rPr>
        <w:t>ECON-VI/015</w:t>
      </w:r>
      <w:r w:rsidR="009E5E15" w:rsidRPr="00E80661">
        <w:rPr>
          <w:szCs w:val="22"/>
        </w:rPr>
        <w:t xml:space="preserve"> -</w:t>
      </w:r>
      <w:r w:rsidRPr="00E80661">
        <w:rPr>
          <w:szCs w:val="22"/>
        </w:rPr>
        <w:t xml:space="preserve"> Steel: Preserving sustainable jobs and growth in Europe </w:t>
      </w:r>
    </w:p>
    <w:p w14:paraId="5C55BDE2" w14:textId="22F36DF3" w:rsidR="00A86856" w:rsidRPr="00E80661" w:rsidRDefault="00A87465" w:rsidP="00644601">
      <w:pPr>
        <w:pStyle w:val="ListParagraph"/>
        <w:numPr>
          <w:ilvl w:val="0"/>
          <w:numId w:val="7"/>
        </w:numPr>
        <w:rPr>
          <w:szCs w:val="22"/>
        </w:rPr>
      </w:pPr>
      <w:r w:rsidRPr="00E80661">
        <w:rPr>
          <w:szCs w:val="22"/>
        </w:rPr>
        <w:t>RESOL-VI/012</w:t>
      </w:r>
      <w:r w:rsidR="009E5E15" w:rsidRPr="00E80661">
        <w:rPr>
          <w:szCs w:val="22"/>
        </w:rPr>
        <w:t xml:space="preserve"> -</w:t>
      </w:r>
      <w:r w:rsidRPr="00E80661">
        <w:rPr>
          <w:szCs w:val="22"/>
        </w:rPr>
        <w:t xml:space="preserve"> </w:t>
      </w:r>
      <w:r w:rsidR="00314D04" w:rsidRPr="00E80661">
        <w:rPr>
          <w:szCs w:val="22"/>
        </w:rPr>
        <w:t>Resolution on the 2016 European Semester and in view of the 2017 Annual Growth Survey</w:t>
      </w:r>
      <w:bookmarkEnd w:id="134"/>
    </w:p>
    <w:p w14:paraId="5C55BDE3" w14:textId="77777777" w:rsidR="00383150" w:rsidRPr="00E80661" w:rsidRDefault="00383150" w:rsidP="005B2CFF">
      <w:pPr>
        <w:rPr>
          <w:szCs w:val="22"/>
        </w:rPr>
      </w:pPr>
    </w:p>
    <w:p w14:paraId="5C55BDE4" w14:textId="77777777" w:rsidR="00383150" w:rsidRPr="00E80661" w:rsidRDefault="00383150" w:rsidP="00644601">
      <w:pPr>
        <w:pStyle w:val="Heading3"/>
        <w:numPr>
          <w:ilvl w:val="0"/>
          <w:numId w:val="0"/>
        </w:numPr>
        <w:ind w:left="720"/>
        <w:rPr>
          <w:szCs w:val="22"/>
        </w:rPr>
      </w:pPr>
      <w:bookmarkStart w:id="135" w:name="_Toc418860782"/>
      <w:bookmarkStart w:id="136" w:name="_Toc486243305"/>
      <w:bookmarkStart w:id="137" w:name="_Toc485373856"/>
      <w:bookmarkEnd w:id="130"/>
      <w:r w:rsidRPr="00E80661">
        <w:rPr>
          <w:szCs w:val="22"/>
        </w:rPr>
        <w:t>SEDEC</w:t>
      </w:r>
      <w:bookmarkEnd w:id="135"/>
      <w:r w:rsidR="00AA127F" w:rsidRPr="00E80661">
        <w:rPr>
          <w:szCs w:val="22"/>
        </w:rPr>
        <w:t xml:space="preserve"> Commission</w:t>
      </w:r>
      <w:bookmarkEnd w:id="136"/>
      <w:bookmarkEnd w:id="137"/>
    </w:p>
    <w:p w14:paraId="5C55BDE5" w14:textId="77777777" w:rsidR="00681E75" w:rsidRPr="00E80661" w:rsidRDefault="00681E75" w:rsidP="00644601">
      <w:pPr>
        <w:pStyle w:val="ListParagraph"/>
        <w:numPr>
          <w:ilvl w:val="0"/>
          <w:numId w:val="33"/>
        </w:numPr>
      </w:pPr>
      <w:r w:rsidRPr="00E80661">
        <w:t>EDUC-V/024</w:t>
      </w:r>
      <w:r w:rsidR="009E5E15" w:rsidRPr="00E80661">
        <w:t xml:space="preserve"> -</w:t>
      </w:r>
      <w:r w:rsidRPr="00E80661">
        <w:t xml:space="preserve"> Innovating for Sustainable Growth: A Bioeconomy for Europe. Rapporteur: Rogier van der Sande (NL/ALDE)</w:t>
      </w:r>
    </w:p>
    <w:p w14:paraId="5C55BDE6" w14:textId="77777777" w:rsidR="00681E75" w:rsidRPr="00E80661" w:rsidRDefault="009E5E15" w:rsidP="00644601">
      <w:pPr>
        <w:pStyle w:val="ListParagraph"/>
        <w:numPr>
          <w:ilvl w:val="0"/>
          <w:numId w:val="33"/>
        </w:numPr>
      </w:pPr>
      <w:r w:rsidRPr="00E80661">
        <w:t xml:space="preserve">EDUC-V/028 - </w:t>
      </w:r>
      <w:r w:rsidR="00681E75" w:rsidRPr="00E80661">
        <w:t>The European Capitals of Culture (2020-2033), Rapporteur: Elisabeth Vitouch (AT/PES)</w:t>
      </w:r>
    </w:p>
    <w:p w14:paraId="5C55BDE7" w14:textId="77777777" w:rsidR="00681E75" w:rsidRPr="00E80661" w:rsidRDefault="00681E75" w:rsidP="00644601">
      <w:pPr>
        <w:pStyle w:val="ListParagraph"/>
        <w:numPr>
          <w:ilvl w:val="0"/>
          <w:numId w:val="33"/>
        </w:numPr>
      </w:pPr>
      <w:r w:rsidRPr="00E80661">
        <w:t>SEDEC-VI/005</w:t>
      </w:r>
      <w:r w:rsidR="009E5E15" w:rsidRPr="00E80661">
        <w:t xml:space="preserve"> -</w:t>
      </w:r>
      <w:r w:rsidRPr="00E80661">
        <w:t xml:space="preserve"> Digital Single Market, Rapporteur: Helma Kuhn-Theis (DE/EPP)</w:t>
      </w:r>
    </w:p>
    <w:p w14:paraId="5C55BDE8" w14:textId="77777777" w:rsidR="00681E75" w:rsidRPr="00E80661" w:rsidRDefault="009E5E15" w:rsidP="00644601">
      <w:pPr>
        <w:pStyle w:val="ListParagraph"/>
        <w:numPr>
          <w:ilvl w:val="0"/>
          <w:numId w:val="33"/>
        </w:numPr>
      </w:pPr>
      <w:r w:rsidRPr="00E80661">
        <w:t>SEDEC-VI/007 -</w:t>
      </w:r>
      <w:r w:rsidR="00681E75" w:rsidRPr="00E80661">
        <w:t xml:space="preserve"> European cooperation in the youth field (2010-2018), Rapporteur: Csaba Borboly (RO/EPP)</w:t>
      </w:r>
    </w:p>
    <w:p w14:paraId="5C55BDE9" w14:textId="77777777" w:rsidR="00681E75" w:rsidRPr="00E80661" w:rsidRDefault="009E5E15" w:rsidP="00644601">
      <w:pPr>
        <w:pStyle w:val="ListParagraph"/>
        <w:numPr>
          <w:ilvl w:val="0"/>
          <w:numId w:val="33"/>
        </w:numPr>
      </w:pPr>
      <w:r w:rsidRPr="00E80661">
        <w:t>SEDEC-VI/013 -</w:t>
      </w:r>
      <w:r w:rsidR="00681E75" w:rsidRPr="00E80661">
        <w:t xml:space="preserve"> eGovernment Action Plan 2016-2020, Rapporteur: Martin Andreasson (SE/EPP)</w:t>
      </w:r>
    </w:p>
    <w:p w14:paraId="5C55BDEA" w14:textId="6FCDD5FF" w:rsidR="00681E75" w:rsidRPr="00E80661" w:rsidRDefault="00681E75" w:rsidP="00644601">
      <w:pPr>
        <w:pStyle w:val="ListParagraph"/>
        <w:numPr>
          <w:ilvl w:val="0"/>
          <w:numId w:val="33"/>
        </w:numPr>
      </w:pPr>
      <w:r w:rsidRPr="00E80661">
        <w:t xml:space="preserve">RESOL-VI/014: Resolution on the European Year of Cultural Heritage </w:t>
      </w:r>
      <w:r w:rsidR="00314D04">
        <w:t>(</w:t>
      </w:r>
      <w:r w:rsidRPr="00E80661">
        <w:t>2018</w:t>
      </w:r>
      <w:r w:rsidR="00314D04">
        <w:t>)</w:t>
      </w:r>
      <w:r w:rsidRPr="00E80661">
        <w:tab/>
      </w:r>
    </w:p>
    <w:p w14:paraId="5C55BDEB" w14:textId="77777777" w:rsidR="00383150" w:rsidRPr="00E80661" w:rsidRDefault="00383150" w:rsidP="005B2CFF">
      <w:pPr>
        <w:rPr>
          <w:szCs w:val="22"/>
        </w:rPr>
      </w:pPr>
    </w:p>
    <w:p w14:paraId="5C55BDEC" w14:textId="77777777" w:rsidR="00383150" w:rsidRPr="00E80661" w:rsidRDefault="00383150" w:rsidP="00644601">
      <w:pPr>
        <w:pStyle w:val="Heading3"/>
        <w:numPr>
          <w:ilvl w:val="0"/>
          <w:numId w:val="0"/>
        </w:numPr>
        <w:ind w:left="720"/>
        <w:rPr>
          <w:szCs w:val="22"/>
        </w:rPr>
      </w:pPr>
      <w:bookmarkStart w:id="138" w:name="_Toc386201094"/>
      <w:bookmarkStart w:id="139" w:name="_Toc418860783"/>
      <w:bookmarkStart w:id="140" w:name="_Toc486243306"/>
      <w:bookmarkStart w:id="141" w:name="_Toc485373857"/>
      <w:r w:rsidRPr="00E80661">
        <w:rPr>
          <w:szCs w:val="22"/>
        </w:rPr>
        <w:t>ENVE</w:t>
      </w:r>
      <w:bookmarkEnd w:id="138"/>
      <w:bookmarkEnd w:id="139"/>
      <w:r w:rsidR="00AA127F" w:rsidRPr="00E80661">
        <w:rPr>
          <w:szCs w:val="22"/>
        </w:rPr>
        <w:t xml:space="preserve"> Commission</w:t>
      </w:r>
      <w:bookmarkEnd w:id="140"/>
      <w:bookmarkEnd w:id="141"/>
    </w:p>
    <w:p w14:paraId="5C55BDED" w14:textId="3DF703E4" w:rsidR="00A87465" w:rsidRPr="00E80661" w:rsidRDefault="00A87465" w:rsidP="00533CC1">
      <w:pPr>
        <w:pStyle w:val="ListParagraph"/>
        <w:numPr>
          <w:ilvl w:val="0"/>
          <w:numId w:val="4"/>
        </w:numPr>
        <w:rPr>
          <w:szCs w:val="22"/>
        </w:rPr>
      </w:pPr>
      <w:r w:rsidRPr="00E80661">
        <w:rPr>
          <w:szCs w:val="22"/>
        </w:rPr>
        <w:t>ENVE-V</w:t>
      </w:r>
      <w:r w:rsidR="009E5E15" w:rsidRPr="00E80661">
        <w:rPr>
          <w:szCs w:val="22"/>
        </w:rPr>
        <w:t>/</w:t>
      </w:r>
      <w:r w:rsidRPr="00E80661">
        <w:rPr>
          <w:szCs w:val="22"/>
        </w:rPr>
        <w:t xml:space="preserve">037 - </w:t>
      </w:r>
      <w:r w:rsidR="00314D04" w:rsidRPr="00E80661">
        <w:rPr>
          <w:szCs w:val="22"/>
        </w:rPr>
        <w:t>EU Strategy on adaptation to climate change</w:t>
      </w:r>
      <w:r w:rsidRPr="00E80661">
        <w:rPr>
          <w:szCs w:val="22"/>
        </w:rPr>
        <w:t xml:space="preserve"> </w:t>
      </w:r>
    </w:p>
    <w:p w14:paraId="5C55BDEF" w14:textId="4CA2C42B" w:rsidR="00A87465" w:rsidRPr="00E80661" w:rsidRDefault="009E5E15" w:rsidP="00644601">
      <w:pPr>
        <w:pStyle w:val="ListParagraph"/>
        <w:numPr>
          <w:ilvl w:val="0"/>
          <w:numId w:val="4"/>
        </w:numPr>
        <w:rPr>
          <w:szCs w:val="22"/>
        </w:rPr>
      </w:pPr>
      <w:r w:rsidRPr="00E80661">
        <w:rPr>
          <w:szCs w:val="22"/>
        </w:rPr>
        <w:t>ENVE-V/</w:t>
      </w:r>
      <w:r w:rsidR="00A87465" w:rsidRPr="00E80661">
        <w:rPr>
          <w:szCs w:val="22"/>
        </w:rPr>
        <w:t xml:space="preserve">046 - The Clean Air Policy Package for Europe </w:t>
      </w:r>
    </w:p>
    <w:p w14:paraId="5C55BDF0" w14:textId="77777777" w:rsidR="00A87465" w:rsidRPr="00E80661" w:rsidRDefault="009E5E15" w:rsidP="00644601">
      <w:pPr>
        <w:pStyle w:val="ListParagraph"/>
        <w:numPr>
          <w:ilvl w:val="0"/>
          <w:numId w:val="4"/>
        </w:numPr>
        <w:rPr>
          <w:szCs w:val="22"/>
        </w:rPr>
      </w:pPr>
      <w:r w:rsidRPr="00E80661">
        <w:rPr>
          <w:szCs w:val="22"/>
        </w:rPr>
        <w:t>ENVE-VI/00</w:t>
      </w:r>
      <w:r w:rsidR="00A87465" w:rsidRPr="00E80661">
        <w:rPr>
          <w:szCs w:val="22"/>
        </w:rPr>
        <w:t xml:space="preserve">3 - Energy Union Package </w:t>
      </w:r>
    </w:p>
    <w:p w14:paraId="5C55BDF1" w14:textId="77777777" w:rsidR="00A87465" w:rsidRPr="00E80661" w:rsidRDefault="009E5E15" w:rsidP="00644601">
      <w:pPr>
        <w:pStyle w:val="ListParagraph"/>
        <w:numPr>
          <w:ilvl w:val="0"/>
          <w:numId w:val="4"/>
        </w:numPr>
        <w:rPr>
          <w:szCs w:val="22"/>
        </w:rPr>
      </w:pPr>
      <w:r w:rsidRPr="00E80661">
        <w:rPr>
          <w:szCs w:val="22"/>
        </w:rPr>
        <w:t>ENVE-VI/</w:t>
      </w:r>
      <w:r w:rsidR="00A87465" w:rsidRPr="00E80661">
        <w:rPr>
          <w:szCs w:val="22"/>
        </w:rPr>
        <w:t xml:space="preserve">005 - Contribution to the fitness check on the EU Birds and Habitats Directives </w:t>
      </w:r>
    </w:p>
    <w:p w14:paraId="5C55BDF2" w14:textId="77777777" w:rsidR="00A87465" w:rsidRPr="00E80661" w:rsidRDefault="009E5E15" w:rsidP="00644601">
      <w:pPr>
        <w:pStyle w:val="ListParagraph"/>
        <w:numPr>
          <w:ilvl w:val="0"/>
          <w:numId w:val="4"/>
        </w:numPr>
        <w:rPr>
          <w:szCs w:val="22"/>
        </w:rPr>
      </w:pPr>
      <w:r w:rsidRPr="00E80661">
        <w:rPr>
          <w:szCs w:val="22"/>
        </w:rPr>
        <w:t>ENVE-VI/</w:t>
      </w:r>
      <w:r w:rsidR="00A87465" w:rsidRPr="00E80661">
        <w:rPr>
          <w:szCs w:val="22"/>
        </w:rPr>
        <w:t>00</w:t>
      </w:r>
      <w:r w:rsidRPr="00E80661">
        <w:rPr>
          <w:szCs w:val="22"/>
        </w:rPr>
        <w:t>6</w:t>
      </w:r>
      <w:r w:rsidR="00A87465" w:rsidRPr="00E80661">
        <w:rPr>
          <w:szCs w:val="22"/>
        </w:rPr>
        <w:t xml:space="preserve"> - The future of the Covenant of Mayors </w:t>
      </w:r>
    </w:p>
    <w:p w14:paraId="5C55BDF3" w14:textId="77777777" w:rsidR="00A87465" w:rsidRPr="00E80661" w:rsidRDefault="009E5E15" w:rsidP="00644601">
      <w:pPr>
        <w:pStyle w:val="ListParagraph"/>
        <w:numPr>
          <w:ilvl w:val="0"/>
          <w:numId w:val="4"/>
        </w:numPr>
        <w:rPr>
          <w:szCs w:val="22"/>
        </w:rPr>
      </w:pPr>
      <w:r w:rsidRPr="00E80661">
        <w:rPr>
          <w:szCs w:val="22"/>
        </w:rPr>
        <w:t>ENVE-VI/</w:t>
      </w:r>
      <w:r w:rsidR="00A87465" w:rsidRPr="00E80661">
        <w:rPr>
          <w:szCs w:val="22"/>
        </w:rPr>
        <w:t xml:space="preserve">007 - Cost-effective emission reductions and low-carbon investments </w:t>
      </w:r>
    </w:p>
    <w:p w14:paraId="5C55BDF4" w14:textId="77777777" w:rsidR="00A87465" w:rsidRPr="00E80661" w:rsidRDefault="009E5E15" w:rsidP="00644601">
      <w:pPr>
        <w:pStyle w:val="ListParagraph"/>
        <w:numPr>
          <w:ilvl w:val="0"/>
          <w:numId w:val="4"/>
        </w:numPr>
        <w:rPr>
          <w:szCs w:val="22"/>
        </w:rPr>
      </w:pPr>
      <w:r w:rsidRPr="00E80661">
        <w:rPr>
          <w:szCs w:val="22"/>
        </w:rPr>
        <w:t>ENVE-VI/</w:t>
      </w:r>
      <w:r w:rsidR="00A87465" w:rsidRPr="00E80661">
        <w:rPr>
          <w:szCs w:val="22"/>
        </w:rPr>
        <w:t xml:space="preserve">008 - EU environment law: improving reporting and compliance </w:t>
      </w:r>
    </w:p>
    <w:p w14:paraId="5C55BDF5" w14:textId="77777777" w:rsidR="00A87465" w:rsidRPr="00E80661" w:rsidRDefault="009E5E15" w:rsidP="00644601">
      <w:pPr>
        <w:pStyle w:val="ListParagraph"/>
        <w:numPr>
          <w:ilvl w:val="0"/>
          <w:numId w:val="4"/>
        </w:numPr>
        <w:rPr>
          <w:szCs w:val="22"/>
        </w:rPr>
      </w:pPr>
      <w:r w:rsidRPr="00E80661">
        <w:rPr>
          <w:szCs w:val="22"/>
        </w:rPr>
        <w:t>ENVE-VI/</w:t>
      </w:r>
      <w:r w:rsidR="00A87465" w:rsidRPr="00E80661">
        <w:rPr>
          <w:szCs w:val="22"/>
        </w:rPr>
        <w:t xml:space="preserve">010 - Legislative proposals amending waste directives </w:t>
      </w:r>
    </w:p>
    <w:p w14:paraId="5C55BDF6" w14:textId="485D19CB" w:rsidR="00A87465" w:rsidRPr="00E80661" w:rsidRDefault="009E5E15" w:rsidP="00644601">
      <w:pPr>
        <w:pStyle w:val="ListParagraph"/>
        <w:numPr>
          <w:ilvl w:val="0"/>
          <w:numId w:val="4"/>
        </w:numPr>
        <w:rPr>
          <w:szCs w:val="22"/>
        </w:rPr>
      </w:pPr>
      <w:r w:rsidRPr="00E80661">
        <w:rPr>
          <w:szCs w:val="22"/>
        </w:rPr>
        <w:t>ENVE-VI/</w:t>
      </w:r>
      <w:r w:rsidR="00A87465" w:rsidRPr="00E80661">
        <w:rPr>
          <w:szCs w:val="22"/>
        </w:rPr>
        <w:t xml:space="preserve">011 - EU action plan for the Circular Economy </w:t>
      </w:r>
    </w:p>
    <w:p w14:paraId="5C55BDF7" w14:textId="77777777" w:rsidR="00A87465" w:rsidRPr="00E80661" w:rsidRDefault="009E5E15" w:rsidP="00644601">
      <w:pPr>
        <w:pStyle w:val="ListParagraph"/>
        <w:numPr>
          <w:ilvl w:val="0"/>
          <w:numId w:val="4"/>
        </w:numPr>
        <w:rPr>
          <w:szCs w:val="22"/>
        </w:rPr>
      </w:pPr>
      <w:r w:rsidRPr="00E80661">
        <w:rPr>
          <w:szCs w:val="22"/>
        </w:rPr>
        <w:t>ENVE-VI/0</w:t>
      </w:r>
      <w:r w:rsidR="00A87465" w:rsidRPr="00E80661">
        <w:rPr>
          <w:szCs w:val="22"/>
        </w:rPr>
        <w:t xml:space="preserve">12 - An EU Strategy on Heating and Cooling </w:t>
      </w:r>
    </w:p>
    <w:p w14:paraId="5C55BDF8" w14:textId="77777777" w:rsidR="00383150" w:rsidRPr="00E80661" w:rsidRDefault="009E5E15" w:rsidP="00644601">
      <w:pPr>
        <w:pStyle w:val="ListParagraph"/>
        <w:numPr>
          <w:ilvl w:val="0"/>
          <w:numId w:val="5"/>
        </w:numPr>
        <w:rPr>
          <w:szCs w:val="22"/>
        </w:rPr>
      </w:pPr>
      <w:r w:rsidRPr="00E80661">
        <w:rPr>
          <w:szCs w:val="22"/>
        </w:rPr>
        <w:t>ENVE-VI/</w:t>
      </w:r>
      <w:r w:rsidR="00A87465" w:rsidRPr="00E80661">
        <w:rPr>
          <w:szCs w:val="22"/>
        </w:rPr>
        <w:t>013 - Delivering the global climate agreement – a territorial approach to COP22 in Marrakesh</w:t>
      </w:r>
    </w:p>
    <w:p w14:paraId="5C55BDF9" w14:textId="77777777" w:rsidR="00383150" w:rsidRPr="00E80661" w:rsidRDefault="00383150" w:rsidP="005B2CFF">
      <w:pPr>
        <w:rPr>
          <w:szCs w:val="22"/>
        </w:rPr>
      </w:pPr>
    </w:p>
    <w:p w14:paraId="5C55BDFA" w14:textId="77777777" w:rsidR="00BB3CA2" w:rsidRPr="00E80661" w:rsidRDefault="00383150" w:rsidP="00644601">
      <w:pPr>
        <w:pStyle w:val="Heading3"/>
        <w:numPr>
          <w:ilvl w:val="0"/>
          <w:numId w:val="0"/>
        </w:numPr>
        <w:ind w:left="720"/>
        <w:rPr>
          <w:szCs w:val="22"/>
        </w:rPr>
      </w:pPr>
      <w:bookmarkStart w:id="142" w:name="_Toc386201095"/>
      <w:bookmarkStart w:id="143" w:name="_Toc418860784"/>
      <w:bookmarkStart w:id="144" w:name="_Toc486243307"/>
      <w:bookmarkStart w:id="145" w:name="_Toc485373858"/>
      <w:r w:rsidRPr="00E80661">
        <w:rPr>
          <w:szCs w:val="22"/>
        </w:rPr>
        <w:t>NAT</w:t>
      </w:r>
      <w:bookmarkEnd w:id="142"/>
      <w:bookmarkEnd w:id="143"/>
      <w:r w:rsidR="00AA127F" w:rsidRPr="00E80661">
        <w:rPr>
          <w:szCs w:val="22"/>
        </w:rPr>
        <w:t xml:space="preserve"> Commission</w:t>
      </w:r>
      <w:bookmarkEnd w:id="144"/>
      <w:bookmarkEnd w:id="145"/>
    </w:p>
    <w:p w14:paraId="1C8BD672" w14:textId="462A7604" w:rsidR="00C86205" w:rsidRPr="00E80661" w:rsidRDefault="00C86205" w:rsidP="00533CC1">
      <w:pPr>
        <w:pStyle w:val="ListParagraph"/>
        <w:numPr>
          <w:ilvl w:val="0"/>
          <w:numId w:val="2"/>
        </w:numPr>
        <w:rPr>
          <w:szCs w:val="22"/>
        </w:rPr>
      </w:pPr>
      <w:r w:rsidRPr="00E80661">
        <w:rPr>
          <w:szCs w:val="22"/>
        </w:rPr>
        <w:t xml:space="preserve">NAT-V-042 - </w:t>
      </w:r>
      <w:r w:rsidRPr="00E80661">
        <w:t>Post 2015 Hyogo Framework for Action</w:t>
      </w:r>
    </w:p>
    <w:p w14:paraId="5C55BDFB" w14:textId="77777777" w:rsidR="00A87465" w:rsidRPr="00E80661" w:rsidRDefault="00A87465" w:rsidP="00533CC1">
      <w:pPr>
        <w:pStyle w:val="ListParagraph"/>
        <w:numPr>
          <w:ilvl w:val="0"/>
          <w:numId w:val="2"/>
        </w:numPr>
        <w:rPr>
          <w:szCs w:val="22"/>
        </w:rPr>
      </w:pPr>
      <w:r w:rsidRPr="00E80661">
        <w:rPr>
          <w:szCs w:val="22"/>
        </w:rPr>
        <w:t>NAT-VI/001 - The Future of the dairy sector</w:t>
      </w:r>
    </w:p>
    <w:p w14:paraId="5C55BDFC" w14:textId="36B36407" w:rsidR="00A87465" w:rsidRPr="00E80661" w:rsidRDefault="00A87465" w:rsidP="00644601">
      <w:pPr>
        <w:pStyle w:val="ListParagraph"/>
        <w:numPr>
          <w:ilvl w:val="0"/>
          <w:numId w:val="2"/>
        </w:numPr>
        <w:rPr>
          <w:szCs w:val="22"/>
        </w:rPr>
      </w:pPr>
      <w:r w:rsidRPr="00E80661">
        <w:rPr>
          <w:szCs w:val="22"/>
        </w:rPr>
        <w:t xml:space="preserve">NAT-VI/002 - </w:t>
      </w:r>
      <w:r w:rsidR="00314D04" w:rsidRPr="00E80661">
        <w:rPr>
          <w:szCs w:val="22"/>
        </w:rPr>
        <w:t>The Future of European Aquaculture</w:t>
      </w:r>
    </w:p>
    <w:p w14:paraId="5C55BDFD" w14:textId="77777777" w:rsidR="00A87465" w:rsidRPr="00E80661" w:rsidRDefault="00A87465" w:rsidP="00644601">
      <w:pPr>
        <w:pStyle w:val="ListParagraph"/>
        <w:numPr>
          <w:ilvl w:val="0"/>
          <w:numId w:val="2"/>
        </w:numPr>
        <w:rPr>
          <w:szCs w:val="22"/>
        </w:rPr>
      </w:pPr>
      <w:r w:rsidRPr="00E80661">
        <w:rPr>
          <w:szCs w:val="22"/>
        </w:rPr>
        <w:t>NAT-VI/004 - Innovation and modernization of rural economy</w:t>
      </w:r>
    </w:p>
    <w:p w14:paraId="5C55BDFE" w14:textId="77777777" w:rsidR="00A87465" w:rsidRPr="00E80661" w:rsidRDefault="00A87465" w:rsidP="00644601">
      <w:pPr>
        <w:pStyle w:val="ListParagraph"/>
        <w:numPr>
          <w:ilvl w:val="0"/>
          <w:numId w:val="2"/>
        </w:numPr>
        <w:rPr>
          <w:szCs w:val="22"/>
        </w:rPr>
      </w:pPr>
      <w:r w:rsidRPr="00E80661">
        <w:rPr>
          <w:szCs w:val="22"/>
        </w:rPr>
        <w:t>NAT-VI/008 - Food Waste</w:t>
      </w:r>
    </w:p>
    <w:p w14:paraId="5C55BDFF" w14:textId="77777777" w:rsidR="00A87465" w:rsidRPr="00E80661" w:rsidRDefault="00A87465" w:rsidP="00644601">
      <w:pPr>
        <w:pStyle w:val="ListParagraph"/>
        <w:numPr>
          <w:ilvl w:val="0"/>
          <w:numId w:val="2"/>
        </w:numPr>
        <w:rPr>
          <w:szCs w:val="22"/>
        </w:rPr>
      </w:pPr>
      <w:r w:rsidRPr="00E80661">
        <w:rPr>
          <w:szCs w:val="22"/>
        </w:rPr>
        <w:t>NAT-VI/009 - Tourism as a driving force for regional cooperation</w:t>
      </w:r>
    </w:p>
    <w:p w14:paraId="5C55BE00" w14:textId="77777777" w:rsidR="002F1737" w:rsidRPr="00E80661" w:rsidRDefault="00A87465" w:rsidP="00644601">
      <w:pPr>
        <w:pStyle w:val="ListParagraph"/>
        <w:numPr>
          <w:ilvl w:val="0"/>
          <w:numId w:val="3"/>
        </w:numPr>
        <w:rPr>
          <w:szCs w:val="22"/>
        </w:rPr>
      </w:pPr>
      <w:r w:rsidRPr="00E80661">
        <w:rPr>
          <w:szCs w:val="22"/>
        </w:rPr>
        <w:t>NAT-VI/010 - The need for and way towards an EU strategy on alcohol-related issues</w:t>
      </w:r>
    </w:p>
    <w:p w14:paraId="5C55BE01" w14:textId="77777777" w:rsidR="00BB3CA2" w:rsidRPr="00E80661" w:rsidRDefault="00BB3CA2" w:rsidP="005B2CFF">
      <w:pPr>
        <w:rPr>
          <w:szCs w:val="22"/>
        </w:rPr>
      </w:pPr>
    </w:p>
    <w:p w14:paraId="5C55BE02" w14:textId="77777777" w:rsidR="00EE104B" w:rsidRPr="00E80661" w:rsidRDefault="00EE104B" w:rsidP="005B2CFF">
      <w:pPr>
        <w:jc w:val="center"/>
        <w:rPr>
          <w:szCs w:val="22"/>
        </w:rPr>
      </w:pPr>
      <w:r w:rsidRPr="00E80661">
        <w:rPr>
          <w:szCs w:val="22"/>
        </w:rPr>
        <w:t>_____________</w:t>
      </w:r>
    </w:p>
    <w:sectPr w:rsidR="00EE104B" w:rsidRPr="00E80661" w:rsidSect="00B90A24">
      <w:headerReference w:type="default" r:id="rId22"/>
      <w:pgSz w:w="11906" w:h="16838"/>
      <w:pgMar w:top="1560" w:right="1440" w:bottom="1928" w:left="1440" w:header="1021" w:footer="12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77B47" w14:textId="77777777" w:rsidR="00BE7F1F" w:rsidRDefault="00BE7F1F">
      <w:r>
        <w:separator/>
      </w:r>
    </w:p>
  </w:endnote>
  <w:endnote w:type="continuationSeparator" w:id="0">
    <w:p w14:paraId="1B679014" w14:textId="77777777" w:rsidR="00BE7F1F" w:rsidRDefault="00BE7F1F">
      <w:r>
        <w:continuationSeparator/>
      </w:r>
    </w:p>
  </w:endnote>
  <w:endnote w:type="continuationNotice" w:id="1">
    <w:p w14:paraId="2DA127EE" w14:textId="77777777" w:rsidR="00BE7F1F" w:rsidRDefault="00BE7F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BE12" w14:textId="1B112DDF" w:rsidR="00AB2D70" w:rsidRPr="005B2CFF" w:rsidRDefault="00AB2D70" w:rsidP="002D22DF">
    <w:pPr>
      <w:pStyle w:val="Footer"/>
      <w:tabs>
        <w:tab w:val="right" w:pos="9026"/>
      </w:tabs>
      <w:rPr>
        <w:lang w:val="nl-BE"/>
      </w:rPr>
    </w:pPr>
    <w:r w:rsidRPr="005B2CFF">
      <w:rPr>
        <w:lang w:val="nl-BE"/>
      </w:rPr>
      <w:t>COR-2015-xxxxx-00-00-NB-TRA</w:t>
    </w:r>
    <w:r w:rsidRPr="005B2CFF">
      <w:rPr>
        <w:lang w:val="nl-BE"/>
      </w:rPr>
      <w:tab/>
    </w:r>
    <w:r w:rsidRPr="005B2CFF">
      <w:fldChar w:fldCharType="begin"/>
    </w:r>
    <w:r w:rsidRPr="005B2CFF">
      <w:instrText xml:space="preserve"> IF </w:instrText>
    </w:r>
    <w:r w:rsidRPr="005B2CFF">
      <w:fldChar w:fldCharType="begin"/>
    </w:r>
    <w:r w:rsidRPr="005B2CFF">
      <w:instrText xml:space="preserve"> NUMPAGES </w:instrText>
    </w:r>
    <w:r w:rsidRPr="005B2CFF">
      <w:fldChar w:fldCharType="separate"/>
    </w:r>
    <w:r w:rsidR="00E80661">
      <w:rPr>
        <w:noProof/>
      </w:rPr>
      <w:instrText>35</w:instrText>
    </w:r>
    <w:r w:rsidRPr="005B2CFF">
      <w:fldChar w:fldCharType="end"/>
    </w:r>
    <w:r w:rsidRPr="005B2CFF">
      <w:instrText>=</w:instrText>
    </w:r>
    <w:r w:rsidRPr="005B2CFF">
      <w:fldChar w:fldCharType="begin"/>
    </w:r>
    <w:r w:rsidRPr="005B2CFF">
      <w:instrText xml:space="preserve"> = </w:instrText>
    </w:r>
    <w:r w:rsidRPr="005B2CFF">
      <w:fldChar w:fldCharType="begin"/>
    </w:r>
    <w:r w:rsidRPr="005B2CFF">
      <w:instrText xml:space="preserve"> PAGE </w:instrText>
    </w:r>
    <w:r w:rsidRPr="005B2CFF">
      <w:fldChar w:fldCharType="separate"/>
    </w:r>
    <w:r>
      <w:rPr>
        <w:noProof/>
      </w:rPr>
      <w:instrText>1</w:instrText>
    </w:r>
    <w:r w:rsidRPr="005B2CFF">
      <w:fldChar w:fldCharType="end"/>
    </w:r>
    <w:r w:rsidRPr="005B2CFF">
      <w:instrText xml:space="preserve">+1 </w:instrText>
    </w:r>
    <w:r w:rsidRPr="005B2CFF">
      <w:fldChar w:fldCharType="separate"/>
    </w:r>
    <w:r>
      <w:rPr>
        <w:noProof/>
      </w:rPr>
      <w:instrText>2</w:instrText>
    </w:r>
    <w:r w:rsidRPr="005B2CFF">
      <w:fldChar w:fldCharType="end"/>
    </w:r>
    <w:r w:rsidRPr="005B2CFF">
      <w:instrText xml:space="preserve"> " " "…/…" </w:instrText>
    </w:r>
    <w:r w:rsidRPr="005B2CFF">
      <w:fldChar w:fldCharType="separate"/>
    </w:r>
    <w:r w:rsidR="00E80661" w:rsidRPr="005B2CFF">
      <w:rPr>
        <w:noProof/>
      </w:rPr>
      <w:t>…/…</w:t>
    </w:r>
    <w:r w:rsidRPr="005B2CF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BE13" w14:textId="5A47DAEF" w:rsidR="00AB2D70" w:rsidRPr="00D75184" w:rsidRDefault="00AB2D70" w:rsidP="002D22DF">
    <w:pPr>
      <w:pStyle w:val="Footer"/>
      <w:tabs>
        <w:tab w:val="right" w:pos="9026"/>
      </w:tabs>
    </w:pPr>
    <w:r w:rsidRPr="00717D0F">
      <w:rPr>
        <w:lang w:val="nl-BE"/>
      </w:rPr>
      <w:t>COR-201</w:t>
    </w:r>
    <w:r>
      <w:rPr>
        <w:lang w:val="nl-BE"/>
      </w:rPr>
      <w:t>7</w:t>
    </w:r>
    <w:r w:rsidRPr="00717D0F">
      <w:rPr>
        <w:lang w:val="nl-BE"/>
      </w:rPr>
      <w:t>-</w:t>
    </w:r>
    <w:r w:rsidRPr="00605A13">
      <w:rPr>
        <w:lang w:val="nl-BE"/>
      </w:rPr>
      <w:t>02424</w:t>
    </w:r>
    <w:r w:rsidRPr="00717D0F">
      <w:rPr>
        <w:lang w:val="nl-BE"/>
      </w:rPr>
      <w:t>-0</w:t>
    </w:r>
    <w:r>
      <w:rPr>
        <w:lang w:val="nl-BE"/>
      </w:rPr>
      <w:t>0</w:t>
    </w:r>
    <w:r w:rsidRPr="00717D0F">
      <w:rPr>
        <w:lang w:val="nl-BE"/>
      </w:rPr>
      <w:t>-00-</w:t>
    </w:r>
    <w:r>
      <w:rPr>
        <w:lang w:val="nl-BE"/>
      </w:rPr>
      <w:t>ANN-</w:t>
    </w:r>
    <w:r w:rsidRPr="00605A13">
      <w:rPr>
        <w:lang w:val="nl-BE"/>
      </w:rPr>
      <w:t>REF</w:t>
    </w:r>
    <w:r w:rsidRPr="00644601">
      <w:rPr>
        <w:lang w:val="nl-BE"/>
      </w:rPr>
      <w:tab/>
    </w:r>
    <w:r w:rsidRPr="00605A13">
      <w:fldChar w:fldCharType="begin"/>
    </w:r>
    <w:r w:rsidRPr="00605A13">
      <w:instrText xml:space="preserve"> IF </w:instrText>
    </w:r>
    <w:r w:rsidRPr="00605A13">
      <w:fldChar w:fldCharType="begin"/>
    </w:r>
    <w:r w:rsidRPr="00605A13">
      <w:instrText xml:space="preserve"> NUMPAGES </w:instrText>
    </w:r>
    <w:r w:rsidRPr="00605A13">
      <w:fldChar w:fldCharType="separate"/>
    </w:r>
    <w:r w:rsidR="00952FB0">
      <w:rPr>
        <w:noProof/>
      </w:rPr>
      <w:instrText>1</w:instrText>
    </w:r>
    <w:r w:rsidRPr="00605A13">
      <w:fldChar w:fldCharType="end"/>
    </w:r>
    <w:r w:rsidRPr="00605A13">
      <w:instrText>=</w:instrText>
    </w:r>
    <w:r w:rsidRPr="00605A13">
      <w:fldChar w:fldCharType="begin"/>
    </w:r>
    <w:r w:rsidRPr="00605A13">
      <w:instrText xml:space="preserve"> = </w:instrText>
    </w:r>
    <w:r w:rsidRPr="00605A13">
      <w:fldChar w:fldCharType="begin"/>
    </w:r>
    <w:r w:rsidRPr="00605A13">
      <w:instrText xml:space="preserve"> PAGE </w:instrText>
    </w:r>
    <w:r w:rsidRPr="00605A13">
      <w:fldChar w:fldCharType="separate"/>
    </w:r>
    <w:r w:rsidR="00952FB0">
      <w:rPr>
        <w:noProof/>
      </w:rPr>
      <w:instrText>0</w:instrText>
    </w:r>
    <w:r w:rsidRPr="00605A13">
      <w:fldChar w:fldCharType="end"/>
    </w:r>
    <w:r w:rsidRPr="00605A13">
      <w:instrText xml:space="preserve">+1 </w:instrText>
    </w:r>
    <w:r w:rsidRPr="00605A13">
      <w:fldChar w:fldCharType="separate"/>
    </w:r>
    <w:r w:rsidR="00952FB0">
      <w:rPr>
        <w:noProof/>
      </w:rPr>
      <w:instrText>1</w:instrText>
    </w:r>
    <w:r w:rsidRPr="00605A13">
      <w:fldChar w:fldCharType="end"/>
    </w:r>
    <w:r w:rsidRPr="00605A13">
      <w:instrText xml:space="preserve"> " " "…/…" </w:instrText>
    </w:r>
    <w:r w:rsidRPr="00605A13">
      <w:fldChar w:fldCharType="separate"/>
    </w:r>
    <w:r w:rsidR="00952FB0" w:rsidRPr="00605A13">
      <w:rPr>
        <w:noProof/>
      </w:rPr>
      <w:t xml:space="preserve"> </w:t>
    </w:r>
    <w:r w:rsidRPr="00605A1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BE16" w14:textId="77777777" w:rsidR="00AB2D70" w:rsidRDefault="00AB2D70" w:rsidP="002D22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BE17" w14:textId="5F1613FE" w:rsidR="00AB2D70" w:rsidRPr="005B2CFF" w:rsidRDefault="00AB2D70" w:rsidP="002D22DF">
    <w:pPr>
      <w:pStyle w:val="Footer"/>
      <w:tabs>
        <w:tab w:val="right" w:pos="9026"/>
      </w:tabs>
    </w:pPr>
    <w:r w:rsidRPr="00717D0F">
      <w:rPr>
        <w:lang w:val="nl-BE"/>
      </w:rPr>
      <w:t>COR-201</w:t>
    </w:r>
    <w:r>
      <w:rPr>
        <w:lang w:val="nl-BE"/>
      </w:rPr>
      <w:t>7</w:t>
    </w:r>
    <w:r w:rsidRPr="00717D0F">
      <w:rPr>
        <w:lang w:val="nl-BE"/>
      </w:rPr>
      <w:t>-</w:t>
    </w:r>
    <w:r w:rsidRPr="00605A13">
      <w:rPr>
        <w:lang w:val="nl-BE"/>
      </w:rPr>
      <w:t>02424</w:t>
    </w:r>
    <w:r w:rsidRPr="00717D0F">
      <w:rPr>
        <w:lang w:val="nl-BE"/>
      </w:rPr>
      <w:t>-0</w:t>
    </w:r>
    <w:r>
      <w:rPr>
        <w:lang w:val="nl-BE"/>
      </w:rPr>
      <w:t>0</w:t>
    </w:r>
    <w:r w:rsidRPr="00717D0F">
      <w:rPr>
        <w:lang w:val="nl-BE"/>
      </w:rPr>
      <w:t>-00-</w:t>
    </w:r>
    <w:r>
      <w:rPr>
        <w:lang w:val="nl-BE"/>
      </w:rPr>
      <w:t>ANN-</w:t>
    </w:r>
    <w:r w:rsidRPr="00605A13">
      <w:rPr>
        <w:lang w:val="nl-BE"/>
      </w:rPr>
      <w:t>REF</w:t>
    </w:r>
    <w:r w:rsidRPr="00605A13">
      <w:tab/>
    </w:r>
    <w:r w:rsidRPr="00605A13">
      <w:fldChar w:fldCharType="begin"/>
    </w:r>
    <w:r w:rsidRPr="00605A13">
      <w:instrText xml:space="preserve"> IF </w:instrText>
    </w:r>
    <w:r w:rsidRPr="00605A13">
      <w:fldChar w:fldCharType="begin"/>
    </w:r>
    <w:r w:rsidRPr="00605A13">
      <w:instrText xml:space="preserve"> NUMPAGES </w:instrText>
    </w:r>
    <w:r w:rsidRPr="00605A13">
      <w:fldChar w:fldCharType="separate"/>
    </w:r>
    <w:r w:rsidR="0034063B">
      <w:rPr>
        <w:noProof/>
      </w:rPr>
      <w:instrText>36</w:instrText>
    </w:r>
    <w:r w:rsidRPr="00605A13">
      <w:fldChar w:fldCharType="end"/>
    </w:r>
    <w:r w:rsidRPr="00605A13">
      <w:instrText>=</w:instrText>
    </w:r>
    <w:r w:rsidRPr="00605A13">
      <w:fldChar w:fldCharType="begin"/>
    </w:r>
    <w:r w:rsidRPr="00605A13">
      <w:instrText xml:space="preserve"> = </w:instrText>
    </w:r>
    <w:r w:rsidRPr="00605A13">
      <w:fldChar w:fldCharType="begin"/>
    </w:r>
    <w:r w:rsidRPr="00605A13">
      <w:instrText xml:space="preserve"> PAGE </w:instrText>
    </w:r>
    <w:r w:rsidRPr="00605A13">
      <w:fldChar w:fldCharType="separate"/>
    </w:r>
    <w:r w:rsidR="0034063B">
      <w:rPr>
        <w:noProof/>
      </w:rPr>
      <w:instrText>8</w:instrText>
    </w:r>
    <w:r w:rsidRPr="00605A13">
      <w:fldChar w:fldCharType="end"/>
    </w:r>
    <w:r w:rsidRPr="00605A13">
      <w:instrText xml:space="preserve">+1 </w:instrText>
    </w:r>
    <w:r w:rsidRPr="00605A13">
      <w:fldChar w:fldCharType="separate"/>
    </w:r>
    <w:r w:rsidR="0034063B">
      <w:rPr>
        <w:noProof/>
      </w:rPr>
      <w:instrText>9</w:instrText>
    </w:r>
    <w:r w:rsidRPr="00605A13">
      <w:fldChar w:fldCharType="end"/>
    </w:r>
    <w:r w:rsidRPr="00605A13">
      <w:instrText xml:space="preserve"> " " "…/…" </w:instrText>
    </w:r>
    <w:r w:rsidRPr="00605A13">
      <w:fldChar w:fldCharType="separate"/>
    </w:r>
    <w:r w:rsidR="0034063B" w:rsidRPr="00605A13">
      <w:rPr>
        <w:noProof/>
      </w:rPr>
      <w:t>…/…</w:t>
    </w:r>
    <w:r w:rsidRPr="00605A13">
      <w:fldChar w:fldCharType="end"/>
    </w:r>
    <w:r w:rsidRPr="00605A13">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BE19" w14:textId="302319F0" w:rsidR="00AB2D70" w:rsidRPr="005B2CFF" w:rsidRDefault="00AB2D70" w:rsidP="002D22DF">
    <w:pPr>
      <w:pStyle w:val="Footer"/>
      <w:tabs>
        <w:tab w:val="right" w:pos="9026"/>
      </w:tabs>
    </w:pPr>
    <w:r w:rsidRPr="00717D0F">
      <w:rPr>
        <w:lang w:val="nl-BE"/>
      </w:rPr>
      <w:t>COR-201</w:t>
    </w:r>
    <w:r>
      <w:rPr>
        <w:lang w:val="nl-BE"/>
      </w:rPr>
      <w:t>7</w:t>
    </w:r>
    <w:r w:rsidRPr="00717D0F">
      <w:rPr>
        <w:lang w:val="nl-BE"/>
      </w:rPr>
      <w:t>-</w:t>
    </w:r>
    <w:r w:rsidRPr="00605A13">
      <w:rPr>
        <w:lang w:val="nl-BE"/>
      </w:rPr>
      <w:t>02424</w:t>
    </w:r>
    <w:r w:rsidRPr="00717D0F">
      <w:rPr>
        <w:lang w:val="nl-BE"/>
      </w:rPr>
      <w:t>-0</w:t>
    </w:r>
    <w:r>
      <w:rPr>
        <w:lang w:val="nl-BE"/>
      </w:rPr>
      <w:t>0</w:t>
    </w:r>
    <w:r w:rsidRPr="00717D0F">
      <w:rPr>
        <w:lang w:val="nl-BE"/>
      </w:rPr>
      <w:t>-00-</w:t>
    </w:r>
    <w:r>
      <w:rPr>
        <w:lang w:val="nl-BE"/>
      </w:rPr>
      <w:t>ANN-</w:t>
    </w:r>
    <w:r w:rsidRPr="00605A13">
      <w:rPr>
        <w:lang w:val="nl-BE"/>
      </w:rPr>
      <w:t>REF</w:t>
    </w:r>
    <w:r w:rsidRPr="005B2CFF">
      <w:tab/>
    </w:r>
    <w:r w:rsidRPr="00605A13">
      <w:fldChar w:fldCharType="begin"/>
    </w:r>
    <w:r w:rsidRPr="00605A13">
      <w:instrText xml:space="preserve"> IF </w:instrText>
    </w:r>
    <w:r w:rsidRPr="00605A13">
      <w:fldChar w:fldCharType="begin"/>
    </w:r>
    <w:r w:rsidRPr="00605A13">
      <w:instrText xml:space="preserve"> NUMPAGES </w:instrText>
    </w:r>
    <w:r w:rsidRPr="00605A13">
      <w:fldChar w:fldCharType="separate"/>
    </w:r>
    <w:r w:rsidR="00952FB0">
      <w:rPr>
        <w:noProof/>
      </w:rPr>
      <w:instrText>2</w:instrText>
    </w:r>
    <w:r w:rsidRPr="00605A13">
      <w:fldChar w:fldCharType="end"/>
    </w:r>
    <w:r w:rsidRPr="00605A13">
      <w:instrText>=</w:instrText>
    </w:r>
    <w:r w:rsidRPr="00605A13">
      <w:fldChar w:fldCharType="begin"/>
    </w:r>
    <w:r w:rsidRPr="00605A13">
      <w:instrText xml:space="preserve"> = </w:instrText>
    </w:r>
    <w:r w:rsidRPr="00605A13">
      <w:fldChar w:fldCharType="begin"/>
    </w:r>
    <w:r w:rsidRPr="00605A13">
      <w:instrText xml:space="preserve"> PAGE </w:instrText>
    </w:r>
    <w:r w:rsidRPr="00605A13">
      <w:fldChar w:fldCharType="separate"/>
    </w:r>
    <w:r w:rsidR="00952FB0">
      <w:rPr>
        <w:noProof/>
      </w:rPr>
      <w:instrText>0</w:instrText>
    </w:r>
    <w:r w:rsidRPr="00605A13">
      <w:fldChar w:fldCharType="end"/>
    </w:r>
    <w:r w:rsidRPr="00605A13">
      <w:instrText xml:space="preserve">+1 </w:instrText>
    </w:r>
    <w:r w:rsidRPr="00605A13">
      <w:fldChar w:fldCharType="separate"/>
    </w:r>
    <w:r w:rsidR="00952FB0">
      <w:rPr>
        <w:noProof/>
      </w:rPr>
      <w:instrText>1</w:instrText>
    </w:r>
    <w:r w:rsidRPr="00605A13">
      <w:fldChar w:fldCharType="end"/>
    </w:r>
    <w:r w:rsidRPr="00605A13">
      <w:instrText xml:space="preserve"> " " "…/…" </w:instrText>
    </w:r>
    <w:r w:rsidRPr="00605A13">
      <w:fldChar w:fldCharType="separate"/>
    </w:r>
    <w:r w:rsidR="00952FB0" w:rsidRPr="00605A13">
      <w:rPr>
        <w:noProof/>
      </w:rPr>
      <w:t>…/…</w:t>
    </w:r>
    <w:r w:rsidRPr="00605A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926B0" w14:textId="77777777" w:rsidR="00BE7F1F" w:rsidRDefault="00BE7F1F">
      <w:r>
        <w:separator/>
      </w:r>
    </w:p>
  </w:footnote>
  <w:footnote w:type="continuationSeparator" w:id="0">
    <w:p w14:paraId="5DF143A8" w14:textId="77777777" w:rsidR="00BE7F1F" w:rsidRDefault="00BE7F1F">
      <w:r>
        <w:continuationSeparator/>
      </w:r>
    </w:p>
  </w:footnote>
  <w:footnote w:type="continuationNotice" w:id="1">
    <w:p w14:paraId="7BC9BA0A" w14:textId="77777777" w:rsidR="00BE7F1F" w:rsidRDefault="00BE7F1F">
      <w:pPr>
        <w:spacing w:line="240" w:lineRule="auto"/>
      </w:pPr>
    </w:p>
  </w:footnote>
  <w:footnote w:id="2">
    <w:p w14:paraId="5C55BE1C" w14:textId="7D1988DE" w:rsidR="00AB2D70" w:rsidRPr="003530FB" w:rsidRDefault="00AB2D70" w:rsidP="00D72477">
      <w:pPr>
        <w:pStyle w:val="FootnoteText"/>
        <w:rPr>
          <w:color w:val="1F497D"/>
        </w:rPr>
      </w:pPr>
      <w:r w:rsidRPr="005B2CFF">
        <w:rPr>
          <w:rStyle w:val="FootnoteReference"/>
        </w:rPr>
        <w:footnoteRef/>
      </w:r>
      <w:r w:rsidRPr="005B2CFF">
        <w:rPr>
          <w:rStyle w:val="FootnoteReference"/>
        </w:rPr>
        <w:t xml:space="preserve"> </w:t>
      </w:r>
      <w:r>
        <w:tab/>
      </w:r>
      <w:r w:rsidRPr="003530FB">
        <w:t xml:space="preserve">CIVEX: COR </w:t>
      </w:r>
      <w:r>
        <w:t>354</w:t>
      </w:r>
      <w:r w:rsidRPr="003530FB">
        <w:t>/201</w:t>
      </w:r>
      <w:r>
        <w:t>7</w:t>
      </w:r>
      <w:r w:rsidRPr="003530FB">
        <w:t xml:space="preserve">; ECON: COR </w:t>
      </w:r>
      <w:r>
        <w:t>30</w:t>
      </w:r>
      <w:r w:rsidRPr="003530FB">
        <w:t>/201</w:t>
      </w:r>
      <w:r>
        <w:t>7</w:t>
      </w:r>
      <w:r w:rsidRPr="003530FB">
        <w:t xml:space="preserve">; ENVE: </w:t>
      </w:r>
      <w:r w:rsidRPr="003530FB">
        <w:rPr>
          <w:color w:val="000000"/>
        </w:rPr>
        <w:t xml:space="preserve">COR </w:t>
      </w:r>
      <w:r>
        <w:rPr>
          <w:color w:val="000000"/>
        </w:rPr>
        <w:t>6782</w:t>
      </w:r>
      <w:r w:rsidRPr="003530FB">
        <w:rPr>
          <w:color w:val="000000"/>
        </w:rPr>
        <w:t>/201</w:t>
      </w:r>
      <w:r>
        <w:rPr>
          <w:color w:val="000000"/>
        </w:rPr>
        <w:t>6</w:t>
      </w:r>
      <w:r w:rsidRPr="003530FB">
        <w:t xml:space="preserve">; SEDEC: COR </w:t>
      </w:r>
      <w:r>
        <w:t>118</w:t>
      </w:r>
      <w:r w:rsidRPr="003530FB">
        <w:t>/201</w:t>
      </w:r>
      <w:r>
        <w:t>7</w:t>
      </w:r>
      <w:r w:rsidRPr="003530FB">
        <w:t xml:space="preserve">; NAT: </w:t>
      </w:r>
      <w:r w:rsidRPr="003530FB">
        <w:rPr>
          <w:color w:val="000000"/>
        </w:rPr>
        <w:t xml:space="preserve">COR </w:t>
      </w:r>
      <w:r>
        <w:rPr>
          <w:color w:val="000000"/>
        </w:rPr>
        <w:t>6711/</w:t>
      </w:r>
      <w:r w:rsidRPr="003530FB">
        <w:rPr>
          <w:color w:val="000000"/>
        </w:rPr>
        <w:t>201</w:t>
      </w:r>
      <w:r>
        <w:rPr>
          <w:color w:val="000000"/>
        </w:rPr>
        <w:t>6</w:t>
      </w:r>
      <w:r w:rsidRPr="003530FB">
        <w:t>;</w:t>
      </w:r>
      <w:r>
        <w:t xml:space="preserve"> </w:t>
      </w:r>
      <w:r w:rsidRPr="003530FB">
        <w:t>COTER:</w:t>
      </w:r>
      <w:r w:rsidR="00A93193">
        <w:t xml:space="preserve"> </w:t>
      </w:r>
      <w:r w:rsidRPr="003530FB">
        <w:t xml:space="preserve">COR </w:t>
      </w:r>
      <w:r>
        <w:t>15</w:t>
      </w:r>
      <w:r w:rsidRPr="003530FB">
        <w:t>/201</w:t>
      </w:r>
      <w:r>
        <w:t>7</w:t>
      </w:r>
    </w:p>
  </w:footnote>
  <w:footnote w:id="3">
    <w:p w14:paraId="5C55BE1D" w14:textId="29C187CC" w:rsidR="00AB2D70" w:rsidRPr="003530FB" w:rsidRDefault="00AB2D70" w:rsidP="00D72477">
      <w:pPr>
        <w:pStyle w:val="FootnoteText"/>
      </w:pPr>
      <w:r w:rsidRPr="003530FB">
        <w:rPr>
          <w:rStyle w:val="FootnoteReference"/>
        </w:rPr>
        <w:footnoteRef/>
      </w:r>
      <w:r w:rsidRPr="003530FB">
        <w:rPr>
          <w:rStyle w:val="FootnoteReference"/>
        </w:rPr>
        <w:t xml:space="preserve"> </w:t>
      </w:r>
      <w:r w:rsidRPr="003530FB">
        <w:tab/>
        <w:t xml:space="preserve">COR </w:t>
      </w:r>
      <w:r>
        <w:t>5929</w:t>
      </w:r>
      <w:r w:rsidRPr="003530FB">
        <w:t>/201</w:t>
      </w:r>
      <w:r>
        <w:t>5, adopted on 4 December 2015</w:t>
      </w:r>
    </w:p>
  </w:footnote>
  <w:footnote w:id="4">
    <w:p w14:paraId="5C55BE1E" w14:textId="77777777" w:rsidR="00AB2D70" w:rsidRPr="003530FB" w:rsidRDefault="00AB2D70" w:rsidP="00D72477">
      <w:pPr>
        <w:pStyle w:val="FootnoteText"/>
      </w:pPr>
      <w:r w:rsidRPr="003530FB">
        <w:rPr>
          <w:rStyle w:val="FootnoteReference"/>
        </w:rPr>
        <w:footnoteRef/>
      </w:r>
      <w:r w:rsidRPr="003530FB">
        <w:rPr>
          <w:rStyle w:val="FootnoteReference"/>
        </w:rPr>
        <w:t xml:space="preserve"> </w:t>
      </w:r>
      <w:r w:rsidRPr="003530FB">
        <w:tab/>
        <w:t xml:space="preserve">COR </w:t>
      </w:r>
      <w:r>
        <w:t>6660</w:t>
      </w:r>
      <w:r w:rsidRPr="003530FB">
        <w:t>/201</w:t>
      </w:r>
      <w:r>
        <w:t>5</w:t>
      </w:r>
    </w:p>
  </w:footnote>
  <w:footnote w:id="5">
    <w:p w14:paraId="0DB2B1F7" w14:textId="57A4AA14" w:rsidR="00AB2D70" w:rsidRDefault="00AB2D70">
      <w:pPr>
        <w:pStyle w:val="FootnoteText"/>
      </w:pPr>
      <w:r>
        <w:rPr>
          <w:rStyle w:val="FootnoteReference"/>
        </w:rPr>
        <w:footnoteRef/>
      </w:r>
      <w:r w:rsidRPr="00644601">
        <w:t xml:space="preserve"> </w:t>
      </w:r>
      <w:r w:rsidRPr="00644601">
        <w:rPr>
          <w:sz w:val="18"/>
        </w:rPr>
        <w:t>https://kiklos.cor.europa.eu/</w:t>
      </w:r>
    </w:p>
  </w:footnote>
  <w:footnote w:id="6">
    <w:p w14:paraId="2A57E286" w14:textId="631D9DA7" w:rsidR="00E80661" w:rsidRPr="008C0FCF" w:rsidRDefault="00E80661" w:rsidP="0067740D">
      <w:pPr>
        <w:pStyle w:val="FootnoteText"/>
        <w:rPr>
          <w:lang w:val="fr-BE"/>
        </w:rPr>
      </w:pPr>
      <w:r>
        <w:rPr>
          <w:rStyle w:val="FootnoteReference"/>
        </w:rPr>
        <w:footnoteRef/>
      </w:r>
      <w:r w:rsidRPr="00644601">
        <w:t xml:space="preserve"> </w:t>
      </w:r>
      <w:hyperlink r:id="rId1" w:history="1">
        <w:r w:rsidRPr="00D77C8E">
          <w:rPr>
            <w:rStyle w:val="Hyperlink"/>
          </w:rPr>
          <w:t>http://www.europarl.europa.eu/RegData/etudes/IDAN/2017/602082/IPOL_IDA(2017)602082_EN.pdf</w:t>
        </w:r>
      </w:hyperlink>
      <w:r>
        <w:t xml:space="preserve"> </w:t>
      </w:r>
    </w:p>
  </w:footnote>
  <w:footnote w:id="7">
    <w:p w14:paraId="5C55BE20" w14:textId="72520205" w:rsidR="00AB2D70" w:rsidRDefault="00AB2D70" w:rsidP="0067740D">
      <w:pPr>
        <w:pStyle w:val="FootnoteText"/>
      </w:pPr>
      <w:r>
        <w:rPr>
          <w:rStyle w:val="FootnoteReference"/>
        </w:rPr>
        <w:footnoteRef/>
      </w:r>
      <w:r w:rsidRPr="00644601">
        <w:t xml:space="preserve"> </w:t>
      </w:r>
      <w:r>
        <w:t>CO</w:t>
      </w:r>
      <w:r w:rsidRPr="00892F20">
        <w:t>R 5386/2016</w:t>
      </w:r>
      <w:r>
        <w:t>, Rapporteur: Rob Jonkman (NL/ECR), adopted unanimously at the CoR plenary session on 11 May 2017</w:t>
      </w:r>
    </w:p>
  </w:footnote>
  <w:footnote w:id="8">
    <w:p w14:paraId="5C55BE21" w14:textId="4F247E4A" w:rsidR="00AB2D70" w:rsidRPr="00A44687" w:rsidRDefault="00AB2D70" w:rsidP="0067740D">
      <w:pPr>
        <w:pStyle w:val="FootnoteText"/>
      </w:pPr>
      <w:r>
        <w:rPr>
          <w:rStyle w:val="FootnoteReference"/>
        </w:rPr>
        <w:footnoteRef/>
      </w:r>
      <w:r w:rsidRPr="00644601">
        <w:t xml:space="preserve"> </w:t>
      </w:r>
      <w:r>
        <w:t>COR 5929/2016</w:t>
      </w:r>
    </w:p>
  </w:footnote>
  <w:footnote w:id="9">
    <w:p w14:paraId="5C55BE22" w14:textId="460DBC1E" w:rsidR="00AB2D70" w:rsidRPr="002B7E6B" w:rsidRDefault="00AB2D70" w:rsidP="0067740D">
      <w:pPr>
        <w:pStyle w:val="FootnoteText"/>
        <w:rPr>
          <w:lang w:val="fr-BE"/>
        </w:rPr>
      </w:pPr>
      <w:r>
        <w:rPr>
          <w:rStyle w:val="FootnoteReference"/>
        </w:rPr>
        <w:footnoteRef/>
      </w:r>
      <w:r w:rsidRPr="00644601">
        <w:t xml:space="preserve"> </w:t>
      </w:r>
      <w:r w:rsidRPr="00953CE8">
        <w:t>COR</w:t>
      </w:r>
      <w:r>
        <w:t xml:space="preserve"> 5112/2015, Rapporteur: </w:t>
      </w:r>
      <w:r w:rsidRPr="004D0814">
        <w:t>Paul Lindquist (SE/EPP)</w:t>
      </w:r>
    </w:p>
  </w:footnote>
  <w:footnote w:id="10">
    <w:p w14:paraId="5C55BE23" w14:textId="17F69F92" w:rsidR="00AB2D70" w:rsidRPr="002B7E6B" w:rsidRDefault="00AB2D70" w:rsidP="0067740D">
      <w:pPr>
        <w:pStyle w:val="FootnoteText"/>
        <w:rPr>
          <w:lang w:val="fr-BE"/>
        </w:rPr>
      </w:pPr>
      <w:r>
        <w:rPr>
          <w:rStyle w:val="FootnoteReference"/>
        </w:rPr>
        <w:footnoteRef/>
      </w:r>
      <w:r w:rsidRPr="00644601">
        <w:t xml:space="preserve"> </w:t>
      </w:r>
      <w:r>
        <w:t xml:space="preserve">Resolution </w:t>
      </w:r>
      <w:r w:rsidRPr="00D76616">
        <w:t>2016/2101(INI)</w:t>
      </w:r>
      <w:r>
        <w:t>, adopted on 26 October 2016</w:t>
      </w:r>
    </w:p>
  </w:footnote>
  <w:footnote w:id="11">
    <w:p w14:paraId="5C55BE24" w14:textId="6B546141" w:rsidR="00AB2D70" w:rsidRDefault="00AB2D70" w:rsidP="0067740D">
      <w:pPr>
        <w:pStyle w:val="FootnoteText"/>
      </w:pPr>
      <w:r>
        <w:rPr>
          <w:rStyle w:val="FootnoteReference"/>
        </w:rPr>
        <w:footnoteRef/>
      </w:r>
      <w:r w:rsidRPr="00644601">
        <w:t xml:space="preserve"> </w:t>
      </w:r>
      <w:r w:rsidRPr="0080670E">
        <w:t>CDR 1214/2016</w:t>
      </w:r>
      <w:r>
        <w:t>, Rapporteur: Olga Zrihen (BE/PES)</w:t>
      </w:r>
    </w:p>
  </w:footnote>
  <w:footnote w:id="12">
    <w:p w14:paraId="5C55BE25" w14:textId="1F23E3D1" w:rsidR="00AB2D70" w:rsidRPr="002B7E6B" w:rsidRDefault="00AB2D70" w:rsidP="0067740D">
      <w:pPr>
        <w:pStyle w:val="FootnoteText"/>
        <w:rPr>
          <w:lang w:val="fr-BE"/>
        </w:rPr>
      </w:pPr>
      <w:r>
        <w:rPr>
          <w:rStyle w:val="FootnoteReference"/>
        </w:rPr>
        <w:footnoteRef/>
      </w:r>
      <w:r w:rsidRPr="00644601">
        <w:t xml:space="preserve"> </w:t>
      </w:r>
      <w:r w:rsidRPr="00754AE3">
        <w:t>COR</w:t>
      </w:r>
      <w:r>
        <w:t xml:space="preserve"> 6628/2015, Rapporteur: Alessandro Pastacci (IT/PES)</w:t>
      </w:r>
    </w:p>
  </w:footnote>
  <w:footnote w:id="13">
    <w:p w14:paraId="5C55BE26" w14:textId="3EE77D4D" w:rsidR="00AB2D70" w:rsidRPr="002B7E6B" w:rsidRDefault="00AB2D70" w:rsidP="0067740D">
      <w:pPr>
        <w:pStyle w:val="FootnoteText"/>
        <w:rPr>
          <w:lang w:val="fr-BE"/>
        </w:rPr>
      </w:pPr>
      <w:r>
        <w:rPr>
          <w:rStyle w:val="FootnoteReference"/>
        </w:rPr>
        <w:footnoteRef/>
      </w:r>
      <w:r w:rsidRPr="00644601">
        <w:t xml:space="preserve"> </w:t>
      </w:r>
      <w:r w:rsidRPr="005526D5">
        <w:t>COR</w:t>
      </w:r>
      <w:r>
        <w:t xml:space="preserve"> 2698/2015, Rapporteur: Benedetta Brighenti (IT/PES)</w:t>
      </w:r>
    </w:p>
  </w:footnote>
  <w:footnote w:id="14">
    <w:p w14:paraId="5C55BE27" w14:textId="51BECB8A" w:rsidR="00AB2D70" w:rsidRPr="002B7E6B" w:rsidRDefault="00AB2D70" w:rsidP="0067740D">
      <w:pPr>
        <w:pStyle w:val="FootnoteText"/>
        <w:rPr>
          <w:lang w:val="fr-BE"/>
        </w:rPr>
      </w:pPr>
      <w:r>
        <w:rPr>
          <w:rStyle w:val="FootnoteReference"/>
        </w:rPr>
        <w:footnoteRef/>
      </w:r>
      <w:r w:rsidRPr="00644601">
        <w:t xml:space="preserve"> </w:t>
      </w:r>
      <w:r>
        <w:t>COM(2015) 550 final</w:t>
      </w:r>
    </w:p>
  </w:footnote>
  <w:footnote w:id="15">
    <w:p w14:paraId="5C55BE28" w14:textId="1F933B6F" w:rsidR="00AB2D70" w:rsidRPr="002B7E6B" w:rsidRDefault="00AB2D70" w:rsidP="0067740D">
      <w:pPr>
        <w:pStyle w:val="FootnoteText"/>
        <w:rPr>
          <w:lang w:val="fr-BE"/>
        </w:rPr>
      </w:pPr>
      <w:r>
        <w:rPr>
          <w:rStyle w:val="FootnoteReference"/>
        </w:rPr>
        <w:footnoteRef/>
      </w:r>
      <w:r w:rsidRPr="00644601">
        <w:t xml:space="preserve"> </w:t>
      </w:r>
      <w:r>
        <w:t>COM(2016) 356 final</w:t>
      </w:r>
    </w:p>
  </w:footnote>
  <w:footnote w:id="16">
    <w:p w14:paraId="5C55BE29" w14:textId="6E5BE40B" w:rsidR="00AB2D70" w:rsidRPr="002B7E6B" w:rsidRDefault="00AB2D70" w:rsidP="0067740D">
      <w:pPr>
        <w:pStyle w:val="FootnoteText"/>
        <w:rPr>
          <w:lang w:val="fr-BE"/>
        </w:rPr>
      </w:pPr>
      <w:r>
        <w:rPr>
          <w:rStyle w:val="FootnoteReference"/>
        </w:rPr>
        <w:footnoteRef/>
      </w:r>
      <w:r w:rsidRPr="00644601">
        <w:t xml:space="preserve"> </w:t>
      </w:r>
      <w:r w:rsidRPr="00DA24B8">
        <w:t>Committee draft report</w:t>
      </w:r>
      <w:r>
        <w:t xml:space="preserve"> </w:t>
      </w:r>
      <w:r w:rsidRPr="00DA24B8">
        <w:t>PE595.756</w:t>
      </w:r>
      <w:r>
        <w:t xml:space="preserve"> adopted on </w:t>
      </w:r>
      <w:r w:rsidRPr="00644601">
        <w:rPr>
          <w:rFonts w:ascii="inherit" w:hAnsi="inherit"/>
          <w:color w:val="363636"/>
          <w:sz w:val="15"/>
        </w:rPr>
        <w:t>11/05/2017</w:t>
      </w:r>
    </w:p>
  </w:footnote>
  <w:footnote w:id="17">
    <w:p w14:paraId="5C55BE2A" w14:textId="56486837" w:rsidR="00AB2D70" w:rsidRPr="002B7E6B" w:rsidRDefault="00AB2D70" w:rsidP="0067740D">
      <w:pPr>
        <w:pStyle w:val="FootnoteText"/>
        <w:rPr>
          <w:lang w:val="fr-BE"/>
        </w:rPr>
      </w:pPr>
      <w:r>
        <w:rPr>
          <w:rStyle w:val="FootnoteReference"/>
        </w:rPr>
        <w:footnoteRef/>
      </w:r>
      <w:r w:rsidRPr="00644601">
        <w:t xml:space="preserve"> </w:t>
      </w:r>
      <w:r>
        <w:t>COM(2016) 721 final</w:t>
      </w:r>
    </w:p>
  </w:footnote>
  <w:footnote w:id="18">
    <w:p w14:paraId="5C55BE2B" w14:textId="32D2E750" w:rsidR="00AB2D70" w:rsidRPr="002B7E6B" w:rsidRDefault="00AB2D70" w:rsidP="0067740D">
      <w:pPr>
        <w:pStyle w:val="FootnoteText"/>
        <w:rPr>
          <w:lang w:val="fr-BE"/>
        </w:rPr>
      </w:pPr>
      <w:r>
        <w:rPr>
          <w:rStyle w:val="FootnoteReference"/>
        </w:rPr>
        <w:footnoteRef/>
      </w:r>
      <w:r w:rsidRPr="00644601">
        <w:t xml:space="preserve"> </w:t>
      </w:r>
      <w:r>
        <w:t>COR 1726/2016, Rapporteur: Isolde Ries (DE/PES)</w:t>
      </w:r>
    </w:p>
  </w:footnote>
  <w:footnote w:id="19">
    <w:p w14:paraId="5C55BE2C" w14:textId="17D3AFD3" w:rsidR="00AB2D70" w:rsidRPr="00644601" w:rsidRDefault="00AB2D70" w:rsidP="0067740D">
      <w:pPr>
        <w:pStyle w:val="FootnoteText"/>
        <w:rPr>
          <w:sz w:val="18"/>
        </w:rPr>
      </w:pPr>
      <w:r w:rsidRPr="00644601">
        <w:rPr>
          <w:rStyle w:val="FootnoteReference"/>
          <w:sz w:val="18"/>
        </w:rPr>
        <w:footnoteRef/>
      </w:r>
      <w:r w:rsidRPr="00644601">
        <w:rPr>
          <w:sz w:val="18"/>
        </w:rPr>
        <w:t xml:space="preserve"> COR 6648/2015</w:t>
      </w:r>
      <w:r>
        <w:rPr>
          <w:sz w:val="18"/>
        </w:rPr>
        <w:t>,</w:t>
      </w:r>
      <w:r w:rsidRPr="00644601">
        <w:rPr>
          <w:sz w:val="18"/>
        </w:rPr>
        <w:t xml:space="preserve"> Rapporteur</w:t>
      </w:r>
      <w:r>
        <w:rPr>
          <w:sz w:val="18"/>
        </w:rPr>
        <w:t>:</w:t>
      </w:r>
      <w:r w:rsidRPr="00644601">
        <w:rPr>
          <w:sz w:val="18"/>
        </w:rPr>
        <w:t xml:space="preserve"> </w:t>
      </w:r>
      <w:r w:rsidRPr="00644601">
        <w:rPr>
          <w:rStyle w:val="st1"/>
          <w:sz w:val="18"/>
        </w:rPr>
        <w:t xml:space="preserve">Hanspeter </w:t>
      </w:r>
      <w:r w:rsidRPr="00644601">
        <w:rPr>
          <w:rStyle w:val="Emphasis"/>
          <w:b w:val="0"/>
          <w:sz w:val="18"/>
        </w:rPr>
        <w:t>Wagner</w:t>
      </w:r>
      <w:r w:rsidRPr="00644601">
        <w:rPr>
          <w:rStyle w:val="st1"/>
          <w:sz w:val="18"/>
        </w:rPr>
        <w:t xml:space="preserve"> (AT/EPP)</w:t>
      </w:r>
    </w:p>
  </w:footnote>
  <w:footnote w:id="20">
    <w:p w14:paraId="5C55BE2D" w14:textId="2F0CFEFB" w:rsidR="00AB2D70" w:rsidRPr="00644601" w:rsidRDefault="00AB2D70" w:rsidP="007955AC">
      <w:pPr>
        <w:pStyle w:val="FootnoteText"/>
        <w:spacing w:after="0"/>
        <w:ind w:left="0" w:firstLine="0"/>
        <w:rPr>
          <w:b/>
          <w:kern w:val="28"/>
          <w:lang w:val="en-US"/>
        </w:rPr>
      </w:pPr>
      <w:r w:rsidRPr="007955AC">
        <w:rPr>
          <w:rStyle w:val="FootnoteReference"/>
          <w:sz w:val="16"/>
        </w:rPr>
        <w:footnoteRef/>
      </w:r>
      <w:r w:rsidRPr="00644601">
        <w:t xml:space="preserve"> </w:t>
      </w:r>
      <w:r w:rsidRPr="00945396">
        <w:rPr>
          <w:szCs w:val="16"/>
        </w:rPr>
        <w:t>ECON-VI/013, Rapporteur</w:t>
      </w:r>
      <w:r w:rsidRPr="00644601">
        <w:rPr>
          <w:kern w:val="28"/>
        </w:rPr>
        <w:t>: Markus Töns (DE/PES), available</w:t>
      </w:r>
      <w:r w:rsidRPr="00644601">
        <w:rPr>
          <w:b/>
          <w:kern w:val="28"/>
        </w:rPr>
        <w:t xml:space="preserve"> </w:t>
      </w:r>
      <w:hyperlink r:id="rId2" w:history="1">
        <w:r w:rsidRPr="00945396">
          <w:rPr>
            <w:rStyle w:val="Hyperlink"/>
            <w:szCs w:val="16"/>
          </w:rPr>
          <w:t>here</w:t>
        </w:r>
      </w:hyperlink>
    </w:p>
  </w:footnote>
  <w:footnote w:id="21">
    <w:p w14:paraId="5C55BE2E" w14:textId="209EA80C" w:rsidR="00AB2D70" w:rsidRPr="00945396" w:rsidRDefault="00AB2D70" w:rsidP="007955AC">
      <w:pPr>
        <w:pStyle w:val="FootnoteText"/>
        <w:spacing w:after="0"/>
        <w:ind w:left="0" w:firstLine="0"/>
        <w:rPr>
          <w:szCs w:val="16"/>
          <w:lang w:val="fr-BE"/>
        </w:rPr>
      </w:pPr>
      <w:r w:rsidRPr="007955AC">
        <w:rPr>
          <w:rStyle w:val="FootnoteReference"/>
          <w:sz w:val="16"/>
        </w:rPr>
        <w:footnoteRef/>
      </w:r>
      <w:r w:rsidRPr="00644601">
        <w:t xml:space="preserve"> </w:t>
      </w:r>
      <w:r w:rsidRPr="00945396">
        <w:rPr>
          <w:szCs w:val="16"/>
          <w:lang w:val="fr-BE"/>
        </w:rPr>
        <w:t xml:space="preserve">Available </w:t>
      </w:r>
      <w:hyperlink r:id="rId3" w:history="1">
        <w:r w:rsidRPr="00945396">
          <w:rPr>
            <w:rStyle w:val="Hyperlink"/>
            <w:szCs w:val="16"/>
            <w:lang w:val="fr-BE"/>
          </w:rPr>
          <w:t>here</w:t>
        </w:r>
      </w:hyperlink>
    </w:p>
  </w:footnote>
  <w:footnote w:id="22">
    <w:p w14:paraId="5C55BE2F" w14:textId="01A18511" w:rsidR="00AB2D70" w:rsidRPr="00945396" w:rsidRDefault="00AB2D70" w:rsidP="00EF4EAF">
      <w:pPr>
        <w:pStyle w:val="FootnoteText"/>
        <w:spacing w:after="0"/>
        <w:ind w:left="0" w:firstLine="0"/>
        <w:rPr>
          <w:szCs w:val="16"/>
          <w:lang w:val="fr-BE"/>
        </w:rPr>
      </w:pPr>
      <w:r w:rsidRPr="007955AC">
        <w:rPr>
          <w:rStyle w:val="FootnoteReference"/>
          <w:sz w:val="16"/>
        </w:rPr>
        <w:footnoteRef/>
      </w:r>
      <w:r w:rsidRPr="00644601">
        <w:t xml:space="preserve"> </w:t>
      </w:r>
      <w:r w:rsidRPr="00945396">
        <w:rPr>
          <w:szCs w:val="16"/>
          <w:lang w:val="fr-BE"/>
        </w:rPr>
        <w:t xml:space="preserve">More info available </w:t>
      </w:r>
      <w:hyperlink r:id="rId4" w:history="1">
        <w:r w:rsidRPr="00945396">
          <w:rPr>
            <w:rStyle w:val="Hyperlink"/>
            <w:szCs w:val="16"/>
            <w:lang w:val="fr-BE"/>
          </w:rPr>
          <w:t>here</w:t>
        </w:r>
      </w:hyperlink>
    </w:p>
  </w:footnote>
  <w:footnote w:id="23">
    <w:p w14:paraId="5C55BE30" w14:textId="395040D6" w:rsidR="00AB2D70" w:rsidRPr="00945396" w:rsidRDefault="00AB2D70" w:rsidP="00EF4EAF">
      <w:pPr>
        <w:pStyle w:val="FootnoteText"/>
        <w:spacing w:after="0"/>
        <w:ind w:left="0" w:firstLine="0"/>
        <w:rPr>
          <w:szCs w:val="16"/>
          <w:lang w:val="fr-BE"/>
        </w:rPr>
      </w:pPr>
      <w:r w:rsidRPr="007955AC">
        <w:rPr>
          <w:rStyle w:val="FootnoteReference"/>
          <w:sz w:val="16"/>
        </w:rPr>
        <w:footnoteRef/>
      </w:r>
      <w:r w:rsidRPr="00644601">
        <w:t xml:space="preserve"> </w:t>
      </w:r>
      <w:r w:rsidRPr="00945396">
        <w:rPr>
          <w:szCs w:val="16"/>
        </w:rPr>
        <w:t xml:space="preserve">The CoR </w:t>
      </w:r>
      <w:r w:rsidRPr="00945396">
        <w:rPr>
          <w:bCs/>
          <w:szCs w:val="16"/>
        </w:rPr>
        <w:t>opinion ask</w:t>
      </w:r>
      <w:r>
        <w:rPr>
          <w:bCs/>
          <w:szCs w:val="16"/>
        </w:rPr>
        <w:t xml:space="preserve">ed for this number to be </w:t>
      </w:r>
      <w:r w:rsidRPr="00945396">
        <w:rPr>
          <w:bCs/>
          <w:szCs w:val="16"/>
        </w:rPr>
        <w:t xml:space="preserve">set </w:t>
      </w:r>
      <w:r>
        <w:rPr>
          <w:bCs/>
          <w:szCs w:val="16"/>
        </w:rPr>
        <w:t>a</w:t>
      </w:r>
      <w:r w:rsidRPr="00945396">
        <w:rPr>
          <w:bCs/>
          <w:szCs w:val="16"/>
        </w:rPr>
        <w:t>t 300 000 passengers per annum (instead of 50 000</w:t>
      </w:r>
      <w:r w:rsidRPr="00945396">
        <w:rPr>
          <w:szCs w:val="16"/>
        </w:rPr>
        <w:t xml:space="preserve"> </w:t>
      </w:r>
      <w:r>
        <w:rPr>
          <w:bCs/>
          <w:szCs w:val="16"/>
        </w:rPr>
        <w:t>as</w:t>
      </w:r>
      <w:r w:rsidRPr="00945396">
        <w:rPr>
          <w:bCs/>
          <w:szCs w:val="16"/>
        </w:rPr>
        <w:t xml:space="preserve"> proposed in the draft proposal)</w:t>
      </w:r>
      <w:r w:rsidRPr="00945396">
        <w:rPr>
          <w:szCs w:val="16"/>
        </w:rPr>
        <w:t xml:space="preserve"> and under the same point of the opinion reference was made to the threshold </w:t>
      </w:r>
      <w:r>
        <w:rPr>
          <w:szCs w:val="16"/>
        </w:rPr>
        <w:t xml:space="preserve">of </w:t>
      </w:r>
      <w:r w:rsidRPr="00945396">
        <w:rPr>
          <w:szCs w:val="16"/>
        </w:rPr>
        <w:t>200 000</w:t>
      </w:r>
      <w:r>
        <w:rPr>
          <w:szCs w:val="16"/>
        </w:rPr>
        <w:t xml:space="preserve"> </w:t>
      </w:r>
      <w:r w:rsidRPr="00945396">
        <w:rPr>
          <w:szCs w:val="16"/>
        </w:rPr>
        <w:t>for airports providing SGEIs. Finally the Commission set the threshold at 200 000 passengers per annum</w:t>
      </w:r>
      <w:r>
        <w:rPr>
          <w:szCs w:val="16"/>
        </w:rPr>
        <w:t xml:space="preserve">, perhaps </w:t>
      </w:r>
      <w:r w:rsidRPr="00945396">
        <w:rPr>
          <w:szCs w:val="16"/>
        </w:rPr>
        <w:t>in an effort to align this with the threshold for airports providing SGEIs.</w:t>
      </w:r>
    </w:p>
  </w:footnote>
  <w:footnote w:id="24">
    <w:p w14:paraId="5C55BE31" w14:textId="048BA55B" w:rsidR="00AB2D70" w:rsidRPr="00945396" w:rsidRDefault="00AB2D70" w:rsidP="00EF4EAF">
      <w:pPr>
        <w:pStyle w:val="FootnoteText"/>
        <w:spacing w:after="0"/>
        <w:ind w:left="0" w:firstLine="0"/>
        <w:rPr>
          <w:lang w:val="fr-BE"/>
        </w:rPr>
      </w:pPr>
      <w:r w:rsidRPr="007955AC">
        <w:rPr>
          <w:rStyle w:val="FootnoteReference"/>
          <w:sz w:val="16"/>
        </w:rPr>
        <w:footnoteRef/>
      </w:r>
      <w:r w:rsidRPr="00644601">
        <w:t xml:space="preserve"> </w:t>
      </w:r>
      <w:r>
        <w:rPr>
          <w:bCs/>
          <w:i/>
          <w:szCs w:val="16"/>
        </w:rPr>
        <w:t>S</w:t>
      </w:r>
      <w:r w:rsidRPr="00945396">
        <w:rPr>
          <w:bCs/>
          <w:i/>
          <w:szCs w:val="16"/>
        </w:rPr>
        <w:t>ports infrastructure and multifunctional recreational infrastructure</w:t>
      </w:r>
      <w:r w:rsidRPr="00945396">
        <w:rPr>
          <w:szCs w:val="16"/>
        </w:rPr>
        <w:t xml:space="preserve"> have been included in the final version of the Regulation under the same point which concerns aid for culture and heritage conservation. This was also a demand </w:t>
      </w:r>
      <w:r>
        <w:rPr>
          <w:szCs w:val="16"/>
        </w:rPr>
        <w:t xml:space="preserve">put forward in </w:t>
      </w:r>
      <w:r w:rsidRPr="00945396">
        <w:rPr>
          <w:szCs w:val="16"/>
        </w:rPr>
        <w:t>the CoR opinion (</w:t>
      </w:r>
      <w:r w:rsidRPr="00945396">
        <w:rPr>
          <w:i/>
          <w:iCs/>
          <w:color w:val="000000"/>
          <w:szCs w:val="16"/>
        </w:rPr>
        <w:t>looks forward to sports infrastructure and multifunctional recreational infrastructure being put on an equal footing in the revised GBER so that operating aid for the latter infrastructure is also exempted up to the level of EUR 2 million per infrastructure per year</w:t>
      </w:r>
      <w:r w:rsidRPr="00945396">
        <w:rPr>
          <w:color w:val="000000"/>
          <w:szCs w:val="16"/>
        </w:rPr>
        <w:t>;</w:t>
      </w:r>
      <w:r w:rsidRPr="00945396">
        <w:rPr>
          <w:szCs w:val="16"/>
        </w:rPr>
        <w:t xml:space="preserve">) and the draft Regulation proposed the increase of aid only for culture and heritage conservation. The amended Regulation adopted exactly the same threshold as proposed </w:t>
      </w:r>
      <w:r>
        <w:rPr>
          <w:szCs w:val="16"/>
        </w:rPr>
        <w:t>in</w:t>
      </w:r>
      <w:r w:rsidRPr="00945396">
        <w:rPr>
          <w:szCs w:val="16"/>
        </w:rPr>
        <w:t xml:space="preserve"> the CoR opinion (</w:t>
      </w:r>
      <w:r w:rsidRPr="00945396">
        <w:rPr>
          <w:i/>
          <w:iCs/>
          <w:color w:val="000000"/>
          <w:szCs w:val="16"/>
        </w:rPr>
        <w:t>EUR 2 million per infrastructure per year)</w:t>
      </w:r>
      <w:r w:rsidRPr="00945396">
        <w:rPr>
          <w:szCs w:val="16"/>
        </w:rPr>
        <w:t xml:space="preserve"> for exemption of notification. On the same point, the CoR's call as regards investment and state aid for culture and heritage conservation for a EUR 1 to 2 million increase in the threshold below which the method for calculating aid described in Article 53(8) of Regulation 651/2014 may be applied, with state aid set at 80% of the project's eligible costs (as an alternative to the method described in Article 53(6) and (7) of Regulation (EU) No 651/2014) has been adopted by the Commission in the amended Regulation. Moreover, the Commission applied the same increase for </w:t>
      </w:r>
      <w:r w:rsidRPr="00945396">
        <w:rPr>
          <w:color w:val="000000"/>
          <w:szCs w:val="16"/>
        </w:rPr>
        <w:t>sports infrastructure and multifunctional recreational infrastructure.</w:t>
      </w:r>
    </w:p>
  </w:footnote>
  <w:footnote w:id="25">
    <w:p w14:paraId="5C55BE32" w14:textId="7C53431C" w:rsidR="00AB2D70" w:rsidRDefault="00AB2D70" w:rsidP="002334FB">
      <w:pPr>
        <w:pStyle w:val="FootnoteText"/>
      </w:pPr>
      <w:r>
        <w:rPr>
          <w:rStyle w:val="FootnoteReference"/>
        </w:rPr>
        <w:footnoteRef/>
      </w:r>
      <w:r w:rsidRPr="00644601">
        <w:t xml:space="preserve"> </w:t>
      </w:r>
      <w:r>
        <w:t>COM(2016) 597 final</w:t>
      </w:r>
    </w:p>
  </w:footnote>
  <w:footnote w:id="26">
    <w:p w14:paraId="5C55BE33" w14:textId="21428C13" w:rsidR="00AB2D70" w:rsidRDefault="00AB2D70" w:rsidP="002334FB">
      <w:pPr>
        <w:pStyle w:val="FootnoteText"/>
      </w:pPr>
      <w:r>
        <w:rPr>
          <w:rStyle w:val="FootnoteReference"/>
        </w:rPr>
        <w:footnoteRef/>
      </w:r>
      <w:r w:rsidRPr="00644601">
        <w:t xml:space="preserve"> </w:t>
      </w:r>
      <w:r>
        <w:t>COR 943/2015, Rapporteur: Claude Gewerc (FR/PES)</w:t>
      </w:r>
    </w:p>
  </w:footnote>
  <w:footnote w:id="27">
    <w:p w14:paraId="5C55BE34" w14:textId="110474F8" w:rsidR="00AB2D70" w:rsidRDefault="00AB2D70">
      <w:pPr>
        <w:pStyle w:val="FootnoteText"/>
      </w:pPr>
      <w:r>
        <w:rPr>
          <w:rStyle w:val="FootnoteReference"/>
        </w:rPr>
        <w:footnoteRef/>
      </w:r>
      <w:r w:rsidRPr="00644601">
        <w:t xml:space="preserve"> </w:t>
      </w:r>
      <w:r>
        <w:t>COR 8/2016, Rapporteur: Petr Osvald (CZ/PES)</w:t>
      </w:r>
    </w:p>
  </w:footnote>
  <w:footnote w:id="28">
    <w:p w14:paraId="7E586D3A" w14:textId="73080D2E" w:rsidR="00E80661" w:rsidRDefault="00E80661">
      <w:pPr>
        <w:pStyle w:val="FootnoteText"/>
      </w:pPr>
      <w:r>
        <w:rPr>
          <w:rStyle w:val="FootnoteReference"/>
        </w:rPr>
        <w:footnoteRef/>
      </w:r>
      <w:r w:rsidRPr="00644601">
        <w:t xml:space="preserve"> </w:t>
      </w:r>
      <w:r>
        <w:t>Council conclusions, 24 June 2016</w:t>
      </w:r>
    </w:p>
  </w:footnote>
  <w:footnote w:id="29">
    <w:p w14:paraId="5C55BE36" w14:textId="16EE9BAB" w:rsidR="00AB2D70" w:rsidRDefault="00AB2D70" w:rsidP="00991486">
      <w:pPr>
        <w:pStyle w:val="FootnoteText"/>
      </w:pPr>
      <w:r>
        <w:rPr>
          <w:rStyle w:val="FootnoteReference"/>
        </w:rPr>
        <w:footnoteRef/>
      </w:r>
      <w:r w:rsidRPr="00644601">
        <w:t xml:space="preserve"> </w:t>
      </w:r>
      <w:r>
        <w:t>COM(2016) 605 final</w:t>
      </w:r>
    </w:p>
  </w:footnote>
  <w:footnote w:id="30">
    <w:p w14:paraId="5C55BE37" w14:textId="5AD6AFA2" w:rsidR="00AB2D70" w:rsidRDefault="00AB2D70">
      <w:pPr>
        <w:pStyle w:val="FootnoteText"/>
      </w:pPr>
      <w:r>
        <w:rPr>
          <w:rStyle w:val="FootnoteReference"/>
        </w:rPr>
        <w:footnoteRef/>
      </w:r>
      <w:r w:rsidRPr="00644601">
        <w:t xml:space="preserve"> </w:t>
      </w:r>
      <w:r>
        <w:t>COR 2321/2016</w:t>
      </w:r>
    </w:p>
  </w:footnote>
  <w:footnote w:id="31">
    <w:p w14:paraId="5C55BE38" w14:textId="395F73F2" w:rsidR="00AB2D70" w:rsidRDefault="00AB2D70" w:rsidP="008B1960">
      <w:pPr>
        <w:pStyle w:val="FootnoteText"/>
      </w:pPr>
      <w:r>
        <w:rPr>
          <w:rStyle w:val="FootnoteReference"/>
        </w:rPr>
        <w:footnoteRef/>
      </w:r>
      <w:r w:rsidRPr="00644601">
        <w:t xml:space="preserve"> </w:t>
      </w:r>
      <w:r>
        <w:t>"Reste à liquider" (RAL) – French for "still to be spent"): the total amount of appropriations that the EU  has  committed  but  not  yet  paid  at  a  given  point  in  time.</w:t>
      </w:r>
    </w:p>
  </w:footnote>
  <w:footnote w:id="32">
    <w:p w14:paraId="5C55BE39" w14:textId="1DEFDEB0" w:rsidR="00AB2D70" w:rsidRDefault="00AB2D70">
      <w:pPr>
        <w:pStyle w:val="FootnoteText"/>
      </w:pPr>
      <w:r>
        <w:rPr>
          <w:rStyle w:val="FootnoteReference"/>
        </w:rPr>
        <w:footnoteRef/>
      </w:r>
      <w:r w:rsidRPr="00644601">
        <w:t xml:space="preserve"> </w:t>
      </w:r>
      <w:r w:rsidRPr="00D262D2">
        <w:t>2015/2353(INI)</w:t>
      </w:r>
      <w:r>
        <w:t xml:space="preserve"> adopted on 6 July 2016</w:t>
      </w:r>
    </w:p>
  </w:footnote>
  <w:footnote w:id="33">
    <w:p w14:paraId="5C55BE3A" w14:textId="163EBC43" w:rsidR="00AB2D70" w:rsidRDefault="00AB2D70">
      <w:pPr>
        <w:pStyle w:val="FootnoteText"/>
      </w:pPr>
      <w:r>
        <w:rPr>
          <w:rStyle w:val="FootnoteReference"/>
        </w:rPr>
        <w:footnoteRef/>
      </w:r>
      <w:r w:rsidRPr="00644601">
        <w:t xml:space="preserve"> </w:t>
      </w:r>
      <w:r>
        <w:t>COR 9/2016, Rapporteur: Luc Van den Brande (BE/EPP)</w:t>
      </w:r>
    </w:p>
  </w:footnote>
  <w:footnote w:id="34">
    <w:p w14:paraId="5C55BE3B" w14:textId="7FC92443" w:rsidR="00AB2D70" w:rsidRDefault="00AB2D70" w:rsidP="00644601">
      <w:pPr>
        <w:pStyle w:val="FootnoteText"/>
        <w:ind w:left="284" w:hanging="284"/>
      </w:pPr>
      <w:r>
        <w:rPr>
          <w:rStyle w:val="FootnoteReference"/>
        </w:rPr>
        <w:footnoteRef/>
      </w:r>
      <w:r w:rsidRPr="00644601">
        <w:t xml:space="preserve"> </w:t>
      </w:r>
      <w:r>
        <w:t>COM(2016) 603 final; SWD(2016) 299 final; COM (2016) 604 final; COM(2016) 606 final; COM(2016) 607 final; COM(2016) 605 final.</w:t>
      </w:r>
    </w:p>
  </w:footnote>
  <w:footnote w:id="35">
    <w:p w14:paraId="5C55BE3D" w14:textId="62811AF2" w:rsidR="00AB2D70" w:rsidRDefault="00AB2D70">
      <w:pPr>
        <w:pStyle w:val="FootnoteText"/>
      </w:pPr>
      <w:r>
        <w:rPr>
          <w:rStyle w:val="FootnoteReference"/>
        </w:rPr>
        <w:footnoteRef/>
      </w:r>
      <w:r w:rsidRPr="00644601">
        <w:t xml:space="preserve"> </w:t>
      </w:r>
      <w:r w:rsidRPr="00EB0FF3">
        <w:t>COM(2016) 557 final</w:t>
      </w:r>
    </w:p>
  </w:footnote>
  <w:footnote w:id="36">
    <w:p w14:paraId="5C55BE3E" w14:textId="0DF39274" w:rsidR="00AB2D70" w:rsidRDefault="00AB2D70">
      <w:pPr>
        <w:pStyle w:val="FootnoteText"/>
      </w:pPr>
      <w:r>
        <w:rPr>
          <w:rStyle w:val="FootnoteReference"/>
        </w:rPr>
        <w:footnoteRef/>
      </w:r>
      <w:r w:rsidRPr="00644601">
        <w:t xml:space="preserve"> </w:t>
      </w:r>
      <w:r>
        <w:t>COR 4287/2015, Rapporteur: Catiuscia Marini (IT/PES)</w:t>
      </w:r>
    </w:p>
  </w:footnote>
  <w:footnote w:id="37">
    <w:p w14:paraId="5C55BE3F" w14:textId="54462C21" w:rsidR="00AB2D70" w:rsidRDefault="00AB2D70">
      <w:pPr>
        <w:pStyle w:val="FootnoteText"/>
      </w:pPr>
      <w:r>
        <w:rPr>
          <w:rStyle w:val="FootnoteReference"/>
        </w:rPr>
        <w:footnoteRef/>
      </w:r>
      <w:r w:rsidRPr="00644601">
        <w:t xml:space="preserve"> </w:t>
      </w:r>
      <w:r>
        <w:t xml:space="preserve">COR 4286/2015, Rapporteur: </w:t>
      </w:r>
      <w:r w:rsidRPr="00714854">
        <w:t>Nikola Dobroslavić (</w:t>
      </w:r>
      <w:r>
        <w:t>HR</w:t>
      </w:r>
      <w:r w:rsidRPr="00714854">
        <w:t>/ EPP)</w:t>
      </w:r>
    </w:p>
  </w:footnote>
  <w:footnote w:id="38">
    <w:p w14:paraId="5C55BE40" w14:textId="2317CC7A" w:rsidR="00AB2D70" w:rsidRPr="00A44687" w:rsidRDefault="00AB2D70" w:rsidP="00D66AFE">
      <w:pPr>
        <w:pStyle w:val="FootnoteText"/>
      </w:pPr>
      <w:r>
        <w:rPr>
          <w:rStyle w:val="FootnoteReference"/>
        </w:rPr>
        <w:footnoteRef/>
      </w:r>
      <w:r w:rsidRPr="00644601">
        <w:t xml:space="preserve"> </w:t>
      </w:r>
      <w:r>
        <w:t>COR 5929/2016</w:t>
      </w:r>
    </w:p>
  </w:footnote>
  <w:footnote w:id="39">
    <w:p w14:paraId="4BA6CA19" w14:textId="77777777" w:rsidR="00AB2D70" w:rsidRDefault="00AB2D70" w:rsidP="001D5C8E">
      <w:pPr>
        <w:pStyle w:val="FootnoteText"/>
      </w:pPr>
      <w:r>
        <w:rPr>
          <w:rStyle w:val="FootnoteReference"/>
        </w:rPr>
        <w:footnoteRef/>
      </w:r>
      <w:r>
        <w:t xml:space="preserve"> COR 4285/2015, Rapporteur: Oldrich Vlasak (CZ/ECR)</w:t>
      </w:r>
    </w:p>
  </w:footnote>
  <w:footnote w:id="40">
    <w:p w14:paraId="5C55BE41" w14:textId="630C19AB" w:rsidR="00AB2D70" w:rsidRDefault="00AB2D70">
      <w:pPr>
        <w:pStyle w:val="FootnoteText"/>
      </w:pPr>
      <w:r>
        <w:rPr>
          <w:rStyle w:val="FootnoteReference"/>
        </w:rPr>
        <w:footnoteRef/>
      </w:r>
      <w:r w:rsidRPr="00644601">
        <w:t xml:space="preserve"> </w:t>
      </w:r>
      <w:r>
        <w:t xml:space="preserve">COR </w:t>
      </w:r>
      <w:r w:rsidRPr="0015083E">
        <w:t>6902/2013</w:t>
      </w:r>
      <w:r>
        <w:t>, Rapporteur: Bas Verkerk (NL/ALDE)</w:t>
      </w:r>
    </w:p>
  </w:footnote>
  <w:footnote w:id="41">
    <w:p w14:paraId="5C55BE42" w14:textId="62419B8C" w:rsidR="00AB2D70" w:rsidRDefault="00AB2D70">
      <w:pPr>
        <w:pStyle w:val="FootnoteText"/>
      </w:pPr>
      <w:r>
        <w:rPr>
          <w:rStyle w:val="FootnoteReference"/>
        </w:rPr>
        <w:footnoteRef/>
      </w:r>
      <w:r w:rsidRPr="00644601">
        <w:t xml:space="preserve"> </w:t>
      </w:r>
      <w:r>
        <w:t>COR 5511/2015, Rapporteur: Hella Dunger-Loper (DE/PES)</w:t>
      </w:r>
    </w:p>
  </w:footnote>
  <w:footnote w:id="42">
    <w:p w14:paraId="5C55BE43" w14:textId="09F92F51" w:rsidR="00AB2D70" w:rsidRDefault="00AB2D70">
      <w:pPr>
        <w:pStyle w:val="FootnoteText"/>
      </w:pPr>
      <w:r>
        <w:rPr>
          <w:rStyle w:val="FootnoteReference"/>
        </w:rPr>
        <w:footnoteRef/>
      </w:r>
      <w:r w:rsidRPr="00644601">
        <w:t xml:space="preserve"> </w:t>
      </w:r>
      <w:r>
        <w:rPr>
          <w:lang w:val="en-US"/>
        </w:rPr>
        <w:t>A</w:t>
      </w:r>
      <w:r w:rsidRPr="00B14829">
        <w:rPr>
          <w:lang w:val="en-US"/>
        </w:rPr>
        <w:t>dopted at the informal ministerial meeting on 30 May 2016 in Amsterdam</w:t>
      </w:r>
      <w:r>
        <w:rPr>
          <w:lang w:val="en-US"/>
        </w:rPr>
        <w:t xml:space="preserve"> (NL)</w:t>
      </w:r>
    </w:p>
  </w:footnote>
  <w:footnote w:id="43">
    <w:p w14:paraId="5C55BE44" w14:textId="7FFBD877" w:rsidR="00AB2D70" w:rsidRPr="00FE6D2F" w:rsidRDefault="00AB2D70" w:rsidP="007955AC">
      <w:pPr>
        <w:pStyle w:val="FootnoteText"/>
        <w:ind w:left="0" w:firstLine="0"/>
        <w:rPr>
          <w:lang w:val="es-ES"/>
        </w:rPr>
      </w:pPr>
      <w:r>
        <w:rPr>
          <w:rStyle w:val="FootnoteReference"/>
        </w:rPr>
        <w:footnoteRef/>
      </w:r>
      <w:r w:rsidRPr="00644601">
        <w:t xml:space="preserve"> </w:t>
      </w:r>
      <w:r>
        <w:t>First 4 Pilot partnerships launched in 2015: Air Quality,</w:t>
      </w:r>
      <w:r w:rsidRPr="00B453EB">
        <w:t xml:space="preserve"> Inc</w:t>
      </w:r>
      <w:r>
        <w:t>lusion of Migrants and Refugees,</w:t>
      </w:r>
      <w:r w:rsidRPr="00B453EB">
        <w:t xml:space="preserve"> Housing and Urban Poverty</w:t>
      </w:r>
      <w:r>
        <w:t xml:space="preserve">; </w:t>
      </w:r>
      <w:r w:rsidR="00E80661">
        <w:t>Partnerships</w:t>
      </w:r>
      <w:r>
        <w:t xml:space="preserve"> launched in 2016: </w:t>
      </w:r>
      <w:r w:rsidRPr="00B453EB">
        <w:rPr>
          <w:lang w:val="en-US"/>
        </w:rPr>
        <w:t>Circular Economy, Digital Transition, Urban Mobility and Jobs and Skills in the Local Economy</w:t>
      </w:r>
      <w:r>
        <w:t xml:space="preserve">; Partnerships launched in 2017: Sustainable Use of Land; Energy Transition; Climate Change Adaptation; Innovation in Public Procurement. </w:t>
      </w:r>
    </w:p>
  </w:footnote>
  <w:footnote w:id="44">
    <w:p w14:paraId="5C55BE45" w14:textId="7BAC5586" w:rsidR="00AB2D70" w:rsidRDefault="00AB2D70">
      <w:pPr>
        <w:pStyle w:val="FootnoteText"/>
      </w:pPr>
      <w:r>
        <w:rPr>
          <w:rStyle w:val="FootnoteReference"/>
        </w:rPr>
        <w:footnoteRef/>
      </w:r>
      <w:r w:rsidRPr="00644601">
        <w:t xml:space="preserve"> </w:t>
      </w:r>
      <w:r>
        <w:t>Adopted at the UN Habitat III Regional Meeting in Prague, 16-18 March 2016</w:t>
      </w:r>
    </w:p>
  </w:footnote>
  <w:footnote w:id="45">
    <w:p w14:paraId="5C55BE46" w14:textId="1BD0D82A" w:rsidR="00AB2D70" w:rsidRDefault="00AB2D70">
      <w:pPr>
        <w:pStyle w:val="FootnoteText"/>
      </w:pPr>
      <w:r>
        <w:rPr>
          <w:rStyle w:val="FootnoteReference"/>
        </w:rPr>
        <w:footnoteRef/>
      </w:r>
      <w:r w:rsidRPr="00644601">
        <w:t xml:space="preserve"> </w:t>
      </w:r>
      <w:r>
        <w:t xml:space="preserve">COR 4294/2016, </w:t>
      </w:r>
      <w:r w:rsidR="00E80661">
        <w:t>Rapporteur</w:t>
      </w:r>
      <w:r>
        <w:t>: Michiel Scheffer (NL/ALDE)</w:t>
      </w:r>
    </w:p>
  </w:footnote>
  <w:footnote w:id="46">
    <w:p w14:paraId="5C55BE47" w14:textId="3601966E" w:rsidR="00AB2D70" w:rsidRDefault="00AB2D70" w:rsidP="00F508A6">
      <w:pPr>
        <w:pStyle w:val="FootnoteText"/>
      </w:pPr>
      <w:r>
        <w:rPr>
          <w:rStyle w:val="FootnoteReference"/>
        </w:rPr>
        <w:footnoteRef/>
      </w:r>
      <w:r w:rsidRPr="00644601">
        <w:t xml:space="preserve"> </w:t>
      </w:r>
      <w:r>
        <w:t>COR 27/2013, Rapporteur: Pascal Mangin (FR/EPP)</w:t>
      </w:r>
    </w:p>
  </w:footnote>
  <w:footnote w:id="47">
    <w:p w14:paraId="5C55BE48" w14:textId="4A408A3C" w:rsidR="00AB2D70" w:rsidRPr="00CB1ABD" w:rsidRDefault="00AB2D70" w:rsidP="00CB1ABD">
      <w:pPr>
        <w:pStyle w:val="FootnoteText"/>
      </w:pPr>
      <w:r>
        <w:rPr>
          <w:rStyle w:val="FootnoteReference"/>
        </w:rPr>
        <w:footnoteRef/>
      </w:r>
      <w:r w:rsidRPr="00644601">
        <w:t xml:space="preserve"> </w:t>
      </w:r>
      <w:r w:rsidRPr="00CB1ABD">
        <w:t xml:space="preserve">The </w:t>
      </w:r>
      <w:r>
        <w:t xml:space="preserve">Fourth railway package consists of a </w:t>
      </w:r>
      <w:r w:rsidRPr="00CB1ABD">
        <w:t xml:space="preserve">"technical pillar" </w:t>
      </w:r>
      <w:r>
        <w:t>and a "governance pillar".</w:t>
      </w:r>
      <w:r>
        <w:br/>
        <w:t xml:space="preserve">The technical pillar </w:t>
      </w:r>
      <w:r w:rsidRPr="00CB1ABD">
        <w:t xml:space="preserve">comprises the three following </w:t>
      </w:r>
      <w:r w:rsidR="00E80661" w:rsidRPr="00CB1ABD">
        <w:t>documents</w:t>
      </w:r>
      <w:r w:rsidRPr="00CB1ABD">
        <w:t>:</w:t>
      </w:r>
      <w:r>
        <w:t xml:space="preserve"> </w:t>
      </w:r>
      <w:r>
        <w:br/>
        <w:t xml:space="preserve">- </w:t>
      </w:r>
      <w:r w:rsidRPr="00CB1ABD">
        <w:t>Regulation (EU) 2016/796 - OJ L 138, 26.5.2016, p. 1–43;</w:t>
      </w:r>
      <w:r w:rsidRPr="00CB1ABD">
        <w:br/>
      </w:r>
      <w:r>
        <w:t xml:space="preserve">- </w:t>
      </w:r>
      <w:r w:rsidRPr="00CB1ABD">
        <w:t>Directive (EU) 2016/797 - OJ L 138, 26.5.2016, p. 44–101;</w:t>
      </w:r>
      <w:r w:rsidRPr="00CB1ABD">
        <w:br/>
      </w:r>
      <w:r>
        <w:t xml:space="preserve">- </w:t>
      </w:r>
      <w:r w:rsidRPr="00CB1ABD">
        <w:t>Directive (EU) 2016/798 - OJ L 138, 26.5.2016, p. 102–149</w:t>
      </w:r>
      <w:r>
        <w:t>;</w:t>
      </w:r>
      <w:r>
        <w:br/>
      </w:r>
      <w:r w:rsidRPr="00CB1ABD">
        <w:t>The "governance pillar" comprises the  three following documents</w:t>
      </w:r>
      <w:r>
        <w:t>:</w:t>
      </w:r>
      <w:r>
        <w:br/>
        <w:t xml:space="preserve">- </w:t>
      </w:r>
      <w:r w:rsidRPr="00CB1ABD">
        <w:t>Regulation (EU) 2016/2337  - OJ L 354, 23.12.2016, p. 20–21;</w:t>
      </w:r>
      <w:r w:rsidRPr="00CB1ABD">
        <w:br/>
      </w:r>
      <w:r>
        <w:t xml:space="preserve">- </w:t>
      </w:r>
      <w:r w:rsidRPr="00CB1ABD">
        <w:t>Regulation (EU) 2016/2338  - OJ L 354, 23.12.2016, p. 22–31;</w:t>
      </w:r>
      <w:r w:rsidRPr="00CB1ABD">
        <w:br/>
      </w:r>
      <w:r>
        <w:t xml:space="preserve">- </w:t>
      </w:r>
      <w:r w:rsidRPr="00CB1ABD">
        <w:t>Directive (EU) 2016/2370 - OJ L 352, 23.12.2016, p. 1–17.</w:t>
      </w:r>
    </w:p>
  </w:footnote>
  <w:footnote w:id="48">
    <w:p w14:paraId="5C55BE49" w14:textId="2903F30B" w:rsidR="00AB2D70" w:rsidRPr="00CB1ABD" w:rsidRDefault="00AB2D70">
      <w:pPr>
        <w:pStyle w:val="FootnoteText"/>
      </w:pPr>
      <w:r>
        <w:rPr>
          <w:rStyle w:val="FootnoteReference"/>
        </w:rPr>
        <w:footnoteRef/>
      </w:r>
      <w:r w:rsidRPr="00644601">
        <w:t xml:space="preserve"> </w:t>
      </w:r>
      <w:r w:rsidRPr="00CB1ABD">
        <w:t>Regulation (EU) 2016/2338 of the European Parliament and of the Council of 14 December 2016 amending Regulation (EC) No 1370/2007 concerning the opening of the market for domestic passenger transport services by rail</w:t>
      </w:r>
    </w:p>
  </w:footnote>
  <w:footnote w:id="49">
    <w:p w14:paraId="5C55BE4A" w14:textId="178FBF45" w:rsidR="00AB2D70" w:rsidRDefault="00AB2D70" w:rsidP="007955AC">
      <w:pPr>
        <w:pStyle w:val="FootnoteText"/>
        <w:ind w:left="0" w:firstLine="0"/>
      </w:pPr>
      <w:r>
        <w:rPr>
          <w:rStyle w:val="FootnoteReference"/>
        </w:rPr>
        <w:footnoteRef/>
      </w:r>
      <w:r w:rsidRPr="00644601">
        <w:t xml:space="preserve"> </w:t>
      </w:r>
      <w:r w:rsidRPr="00DE79B5">
        <w:t xml:space="preserve">Directive </w:t>
      </w:r>
      <w:r w:rsidRPr="00CB1ABD">
        <w:t xml:space="preserve">(EU) 2016/2370 </w:t>
      </w:r>
      <w:r w:rsidRPr="00DE79B5">
        <w:t>of the European Parliament and of the Council amending Directive 2012/34/EU as regards the opening of the market for domestic passenger transport services by rail and the governance of the railway infrastructure</w:t>
      </w:r>
      <w:r>
        <w:t>.</w:t>
      </w:r>
    </w:p>
  </w:footnote>
  <w:footnote w:id="50">
    <w:p w14:paraId="5C55BE4B" w14:textId="00A97E7B" w:rsidR="00AB2D70" w:rsidRDefault="00AB2D70" w:rsidP="0036257B">
      <w:pPr>
        <w:pStyle w:val="FootnoteText"/>
      </w:pPr>
      <w:r>
        <w:rPr>
          <w:rStyle w:val="FootnoteReference"/>
        </w:rPr>
        <w:footnoteRef/>
      </w:r>
      <w:r w:rsidRPr="00644601">
        <w:t xml:space="preserve"> </w:t>
      </w:r>
      <w:r>
        <w:t>COR 3610/2013, Rapporteur: Alessandro Cosimi (IT/PES)</w:t>
      </w:r>
    </w:p>
  </w:footnote>
  <w:footnote w:id="51">
    <w:p w14:paraId="235A18DA" w14:textId="0165E1F2" w:rsidR="00AB2D70" w:rsidRDefault="00AB2D70">
      <w:pPr>
        <w:pStyle w:val="FootnoteText"/>
      </w:pPr>
      <w:r>
        <w:rPr>
          <w:rStyle w:val="FootnoteReference"/>
        </w:rPr>
        <w:footnoteRef/>
      </w:r>
      <w:r w:rsidRPr="00644601">
        <w:t xml:space="preserve"> </w:t>
      </w:r>
      <w:r w:rsidRPr="00CB1ABD">
        <w:t>Regulation (EU) 2017/352 of  the European Parliament and of the Council of 15 February 2017 establishing a framework for the</w:t>
      </w:r>
    </w:p>
    <w:p w14:paraId="5C55BE4C" w14:textId="3C99A94D" w:rsidR="00AB2D70" w:rsidRPr="00CB1ABD" w:rsidRDefault="00AB2D70">
      <w:pPr>
        <w:pStyle w:val="FootnoteText"/>
      </w:pPr>
      <w:r>
        <w:t xml:space="preserve">     </w:t>
      </w:r>
      <w:r w:rsidRPr="00CB1ABD">
        <w:t xml:space="preserve"> provision of port services and common rules on the financial transparency of ports (OJ L 57, 3.3.2017, p. 1)</w:t>
      </w:r>
    </w:p>
  </w:footnote>
  <w:footnote w:id="52">
    <w:p w14:paraId="489D838F" w14:textId="3050F0C1" w:rsidR="00AB2D70" w:rsidRDefault="00AB2D70" w:rsidP="00A22DA5">
      <w:pPr>
        <w:pStyle w:val="FootnoteText"/>
      </w:pPr>
      <w:r>
        <w:rPr>
          <w:rStyle w:val="FootnoteReference"/>
        </w:rPr>
        <w:footnoteRef/>
      </w:r>
      <w:r w:rsidRPr="00644601">
        <w:t xml:space="preserve"> </w:t>
      </w:r>
      <w:r>
        <w:t>COR 5650/2016</w:t>
      </w:r>
      <w:r w:rsidR="00B77350">
        <w:t>,</w:t>
      </w:r>
      <w:r>
        <w:t xml:space="preserve">  Rapporteur: Stanislaw Szwabski (PL/EA)</w:t>
      </w:r>
    </w:p>
  </w:footnote>
  <w:footnote w:id="53">
    <w:p w14:paraId="5C55BE4D" w14:textId="2C30F967" w:rsidR="00AB2D70" w:rsidRDefault="00AB2D70" w:rsidP="00985DF5">
      <w:pPr>
        <w:pStyle w:val="FootnoteText"/>
      </w:pPr>
      <w:r>
        <w:rPr>
          <w:rStyle w:val="FootnoteReference"/>
        </w:rPr>
        <w:footnoteRef/>
      </w:r>
      <w:r w:rsidRPr="00644601">
        <w:t xml:space="preserve"> </w:t>
      </w:r>
      <w:r>
        <w:t>COR 1112/2012, Rapporteur: Rogier Van der Sande (NL/EPP)</w:t>
      </w:r>
    </w:p>
  </w:footnote>
  <w:footnote w:id="54">
    <w:p w14:paraId="5C55BE4F" w14:textId="6DDC9D5C" w:rsidR="00AB2D70" w:rsidRDefault="00AB2D70">
      <w:pPr>
        <w:pStyle w:val="FootnoteText"/>
      </w:pPr>
      <w:r>
        <w:rPr>
          <w:rStyle w:val="FootnoteReference"/>
        </w:rPr>
        <w:footnoteRef/>
      </w:r>
      <w:r w:rsidRPr="00644601">
        <w:t xml:space="preserve"> </w:t>
      </w:r>
      <w:r>
        <w:t>COR 2882/2016, Rapporteur: Martin Andreasson (SE/EPP)</w:t>
      </w:r>
    </w:p>
  </w:footnote>
  <w:footnote w:id="55">
    <w:p w14:paraId="5C55BE50" w14:textId="331B12C5" w:rsidR="00AB2D70" w:rsidRPr="009948CA" w:rsidRDefault="00AB2D70">
      <w:pPr>
        <w:pStyle w:val="FootnoteText"/>
        <w:rPr>
          <w:lang w:val="hu-HU"/>
        </w:rPr>
      </w:pPr>
      <w:r>
        <w:rPr>
          <w:rStyle w:val="FootnoteReference"/>
        </w:rPr>
        <w:footnoteRef/>
      </w:r>
      <w:r>
        <w:t xml:space="preserve">Council </w:t>
      </w:r>
      <w:r w:rsidR="006D575A">
        <w:t>c</w:t>
      </w:r>
      <w:r>
        <w:t xml:space="preserve">onclusions on </w:t>
      </w:r>
      <w:r w:rsidRPr="009948CA">
        <w:t>eGovernment Action Plan 2016-2020: accelerating the digital transformation of government</w:t>
      </w:r>
      <w:r>
        <w:t xml:space="preserve"> (</w:t>
      </w:r>
      <w:r w:rsidRPr="009948CA">
        <w:t>12359/16</w:t>
      </w:r>
      <w:r>
        <w:t>)</w:t>
      </w:r>
    </w:p>
  </w:footnote>
  <w:footnote w:id="56">
    <w:p w14:paraId="5C55BE51" w14:textId="30ABD9BF" w:rsidR="00AB2D70" w:rsidRDefault="00AB2D70" w:rsidP="00177055">
      <w:pPr>
        <w:pStyle w:val="FootnoteText"/>
      </w:pPr>
      <w:r>
        <w:rPr>
          <w:rStyle w:val="FootnoteReference"/>
        </w:rPr>
        <w:footnoteRef/>
      </w:r>
      <w:r w:rsidRPr="00644601">
        <w:t xml:space="preserve"> </w:t>
      </w:r>
      <w:r>
        <w:t>COR 2077/2012, Rapporteur: Elisabeth Vitouch (AT/PES)</w:t>
      </w:r>
    </w:p>
  </w:footnote>
  <w:footnote w:id="57">
    <w:p w14:paraId="5C55BE52" w14:textId="4BCD477B" w:rsidR="00AB2D70" w:rsidRDefault="00AB2D70">
      <w:pPr>
        <w:pStyle w:val="FootnoteText"/>
      </w:pPr>
      <w:r>
        <w:rPr>
          <w:rStyle w:val="FootnoteReference"/>
        </w:rPr>
        <w:footnoteRef/>
      </w:r>
      <w:r w:rsidRPr="00644601">
        <w:t xml:space="preserve"> </w:t>
      </w:r>
      <w:r>
        <w:t>COM(2016) 400 final</w:t>
      </w:r>
    </w:p>
  </w:footnote>
  <w:footnote w:id="58">
    <w:p w14:paraId="5C55BE54" w14:textId="1D3C2462" w:rsidR="00AB2D70" w:rsidRDefault="00AB2D70">
      <w:pPr>
        <w:pStyle w:val="FootnoteText"/>
      </w:pPr>
      <w:r>
        <w:rPr>
          <w:rStyle w:val="FootnoteReference"/>
        </w:rPr>
        <w:footnoteRef/>
      </w:r>
      <w:r w:rsidRPr="00644601">
        <w:t xml:space="preserve"> </w:t>
      </w:r>
      <w:r w:rsidRPr="0001188D">
        <w:t>14678/16</w:t>
      </w:r>
    </w:p>
  </w:footnote>
  <w:footnote w:id="59">
    <w:p w14:paraId="5C55BE55" w14:textId="274C9041" w:rsidR="00AB2D70" w:rsidRDefault="00AB2D70">
      <w:pPr>
        <w:pStyle w:val="FootnoteText"/>
      </w:pPr>
      <w:r>
        <w:rPr>
          <w:rStyle w:val="FootnoteReference"/>
        </w:rPr>
        <w:footnoteRef/>
      </w:r>
      <w:r w:rsidRPr="00644601">
        <w:t xml:space="preserve"> </w:t>
      </w:r>
      <w:r>
        <w:t>COM(2016) 543final</w:t>
      </w:r>
    </w:p>
  </w:footnote>
  <w:footnote w:id="60">
    <w:p w14:paraId="5C55BE56" w14:textId="3F46E07C" w:rsidR="00AB2D70" w:rsidRDefault="00AB2D70">
      <w:pPr>
        <w:pStyle w:val="FootnoteText"/>
      </w:pPr>
      <w:r>
        <w:rPr>
          <w:rStyle w:val="FootnoteReference"/>
        </w:rPr>
        <w:footnoteRef/>
      </w:r>
      <w:r w:rsidRPr="00644601">
        <w:t xml:space="preserve"> </w:t>
      </w:r>
      <w:r>
        <w:t>COR 4785/2016 (RESOL-VI/014)</w:t>
      </w:r>
    </w:p>
  </w:footnote>
  <w:footnote w:id="61">
    <w:p w14:paraId="5C55BE57" w14:textId="1D1ECAD8" w:rsidR="00AB2D70" w:rsidRDefault="00AB2D70">
      <w:pPr>
        <w:pStyle w:val="FootnoteText"/>
      </w:pPr>
      <w:r>
        <w:rPr>
          <w:rStyle w:val="FootnoteReference"/>
        </w:rPr>
        <w:footnoteRef/>
      </w:r>
      <w:r w:rsidRPr="00644601">
        <w:t xml:space="preserve"> </w:t>
      </w:r>
      <w:r w:rsidRPr="004A3D1F">
        <w:t>A8-0340/2016</w:t>
      </w:r>
    </w:p>
  </w:footnote>
  <w:footnote w:id="62">
    <w:p w14:paraId="5C55BE58" w14:textId="4158731F" w:rsidR="00AB2D70" w:rsidRDefault="00AB2D70" w:rsidP="00AB0A49">
      <w:pPr>
        <w:pStyle w:val="FootnoteText"/>
        <w:rPr>
          <w:szCs w:val="22"/>
          <w:lang w:val="en-US"/>
        </w:rPr>
      </w:pPr>
      <w:r>
        <w:rPr>
          <w:rStyle w:val="FootnoteReference"/>
        </w:rPr>
        <w:footnoteRef/>
      </w:r>
      <w:r w:rsidRPr="00644601">
        <w:t xml:space="preserve"> </w:t>
      </w:r>
      <w:r>
        <w:t xml:space="preserve">PE-CONS 10/1/17 REV 1 </w:t>
      </w:r>
    </w:p>
  </w:footnote>
  <w:footnote w:id="63">
    <w:p w14:paraId="5C55BE59" w14:textId="79453E01" w:rsidR="00AB2D70" w:rsidRDefault="00AB2D70">
      <w:pPr>
        <w:pStyle w:val="FootnoteText"/>
      </w:pPr>
      <w:r>
        <w:rPr>
          <w:rStyle w:val="FootnoteReference"/>
        </w:rPr>
        <w:footnoteRef/>
      </w:r>
      <w:r w:rsidRPr="00644601">
        <w:t xml:space="preserve"> </w:t>
      </w:r>
      <w:r>
        <w:t>2015/2351(INI)</w:t>
      </w:r>
    </w:p>
  </w:footnote>
  <w:footnote w:id="64">
    <w:p w14:paraId="5C55BE5A" w14:textId="7068B315" w:rsidR="00AB2D70" w:rsidRDefault="00AB2D70">
      <w:pPr>
        <w:pStyle w:val="FootnoteText"/>
      </w:pPr>
      <w:r>
        <w:rPr>
          <w:rStyle w:val="FootnoteReference"/>
        </w:rPr>
        <w:footnoteRef/>
      </w:r>
      <w:r w:rsidRPr="00644601">
        <w:t xml:space="preserve"> </w:t>
      </w:r>
      <w:r>
        <w:t>COR 4872/2015, Rapporteur: Csaba Borboly (RO/EPP)</w:t>
      </w:r>
    </w:p>
  </w:footnote>
  <w:footnote w:id="65">
    <w:p w14:paraId="5C55BE5B" w14:textId="7BAB1D18" w:rsidR="00AB2D70" w:rsidRPr="009948CA" w:rsidRDefault="00AB2D70">
      <w:pPr>
        <w:pStyle w:val="FootnoteText"/>
        <w:rPr>
          <w:lang w:val="hu-HU"/>
        </w:rPr>
      </w:pPr>
      <w:r w:rsidRPr="00C2600A">
        <w:rPr>
          <w:rStyle w:val="FootnoteReference"/>
        </w:rPr>
        <w:footnoteRef/>
      </w:r>
      <w:r w:rsidRPr="00644601">
        <w:t xml:space="preserve"> </w:t>
      </w:r>
      <w:r w:rsidRPr="00C2600A">
        <w:t>13621/16</w:t>
      </w:r>
    </w:p>
  </w:footnote>
  <w:footnote w:id="66">
    <w:p w14:paraId="55D4BC92" w14:textId="757F0404" w:rsidR="00AB2D70" w:rsidRDefault="00AB2D70">
      <w:pPr>
        <w:pStyle w:val="FootnoteText"/>
      </w:pPr>
      <w:r>
        <w:rPr>
          <w:rStyle w:val="FootnoteReference"/>
        </w:rPr>
        <w:footnoteRef/>
      </w:r>
      <w:r w:rsidRPr="00644601">
        <w:t xml:space="preserve"> </w:t>
      </w:r>
      <w:r w:rsidRPr="005F7E00">
        <w:rPr>
          <w:szCs w:val="16"/>
        </w:rPr>
        <w:t>COR 1536/2015</w:t>
      </w:r>
      <w:r w:rsidR="000350D7">
        <w:rPr>
          <w:szCs w:val="16"/>
        </w:rPr>
        <w:t>,</w:t>
      </w:r>
      <w:r w:rsidRPr="005F7E00">
        <w:rPr>
          <w:szCs w:val="16"/>
        </w:rPr>
        <w:t xml:space="preserve"> Rapporteur – Pascal Mangin (FR/EPP)</w:t>
      </w:r>
    </w:p>
  </w:footnote>
  <w:footnote w:id="67">
    <w:p w14:paraId="74F676AA" w14:textId="24CA0305" w:rsidR="00AB2D70" w:rsidRPr="00116E63" w:rsidRDefault="00AB2D70" w:rsidP="00AB4E23">
      <w:pPr>
        <w:pStyle w:val="FootnoteText"/>
        <w:rPr>
          <w:szCs w:val="16"/>
        </w:rPr>
      </w:pPr>
      <w:r w:rsidRPr="00644601">
        <w:rPr>
          <w:rStyle w:val="FootnoteReference"/>
          <w:sz w:val="22"/>
        </w:rPr>
        <w:footnoteRef/>
      </w:r>
      <w:r w:rsidRPr="00644601">
        <w:rPr>
          <w:sz w:val="22"/>
        </w:rPr>
        <w:t xml:space="preserve"> </w:t>
      </w:r>
      <w:hyperlink r:id="rId5" w:history="1">
        <w:r w:rsidRPr="00644601">
          <w:t>P8_TA(2016)0292</w:t>
        </w:r>
      </w:hyperlink>
    </w:p>
  </w:footnote>
  <w:footnote w:id="68">
    <w:p w14:paraId="2E3341C8" w14:textId="74E28A24" w:rsidR="00AB2D70" w:rsidRPr="00116E63" w:rsidRDefault="00AB2D70" w:rsidP="00AB4E23">
      <w:pPr>
        <w:pStyle w:val="FootnoteText"/>
        <w:rPr>
          <w:szCs w:val="16"/>
        </w:rPr>
      </w:pPr>
      <w:r w:rsidRPr="00644601">
        <w:rPr>
          <w:rStyle w:val="FootnoteReference"/>
          <w:sz w:val="22"/>
        </w:rPr>
        <w:footnoteRef/>
      </w:r>
      <w:r w:rsidRPr="00644601">
        <w:t xml:space="preserve"> </w:t>
      </w:r>
      <w:hyperlink r:id="rId6" w:history="1">
        <w:r w:rsidRPr="00644601">
          <w:t>P8_TA(2016)0333</w:t>
        </w:r>
      </w:hyperlink>
    </w:p>
  </w:footnote>
  <w:footnote w:id="69">
    <w:p w14:paraId="7F6F7064" w14:textId="31DA712E" w:rsidR="00AB2D70" w:rsidRDefault="00AB2D70" w:rsidP="00AB4E23">
      <w:pPr>
        <w:pStyle w:val="FootnoteText"/>
      </w:pPr>
      <w:r w:rsidRPr="00644601">
        <w:rPr>
          <w:rStyle w:val="FootnoteReference"/>
          <w:sz w:val="22"/>
        </w:rPr>
        <w:footnoteRef/>
      </w:r>
      <w:r w:rsidRPr="00644601">
        <w:t xml:space="preserve"> </w:t>
      </w:r>
      <w:hyperlink r:id="rId7" w:history="1">
        <w:r w:rsidRPr="00644601">
          <w:t>P8_TA(2016)0234</w:t>
        </w:r>
      </w:hyperlink>
    </w:p>
  </w:footnote>
  <w:footnote w:id="70">
    <w:p w14:paraId="3CA577BE" w14:textId="13DCE6AA" w:rsidR="00AB2D70" w:rsidRDefault="00AB2D70">
      <w:pPr>
        <w:pStyle w:val="FootnoteText"/>
      </w:pPr>
      <w:r>
        <w:rPr>
          <w:rStyle w:val="FootnoteReference"/>
        </w:rPr>
        <w:footnoteRef/>
      </w:r>
      <w:r w:rsidRPr="00644601">
        <w:t xml:space="preserve"> </w:t>
      </w:r>
      <w:r w:rsidRPr="005F7E00">
        <w:rPr>
          <w:szCs w:val="16"/>
        </w:rPr>
        <w:t>COR 1411/2016</w:t>
      </w:r>
      <w:r>
        <w:rPr>
          <w:szCs w:val="16"/>
        </w:rPr>
        <w:t>,</w:t>
      </w:r>
      <w:r w:rsidRPr="005F7E00">
        <w:rPr>
          <w:szCs w:val="16"/>
        </w:rPr>
        <w:t xml:space="preserve"> Rapporteur: Daiva Matoniene (LT/ECR)</w:t>
      </w:r>
    </w:p>
  </w:footnote>
  <w:footnote w:id="71">
    <w:p w14:paraId="7137AB41" w14:textId="1C89B431" w:rsidR="00AB2D70" w:rsidRPr="00116E63" w:rsidRDefault="00AB2D70" w:rsidP="00AB4E23">
      <w:pPr>
        <w:pStyle w:val="FootnoteText"/>
        <w:rPr>
          <w:szCs w:val="16"/>
        </w:rPr>
      </w:pPr>
      <w:r w:rsidRPr="00644601">
        <w:rPr>
          <w:rStyle w:val="FootnoteReference"/>
          <w:sz w:val="22"/>
        </w:rPr>
        <w:footnoteRef/>
      </w:r>
      <w:r w:rsidRPr="00644601">
        <w:t xml:space="preserve"> </w:t>
      </w:r>
      <w:hyperlink r:id="rId8" w:history="1">
        <w:r w:rsidRPr="00644601">
          <w:t>P8_TA(2016)0334</w:t>
        </w:r>
      </w:hyperlink>
    </w:p>
  </w:footnote>
  <w:footnote w:id="72">
    <w:p w14:paraId="2BFCFE17" w14:textId="4D1CF943" w:rsidR="00AB2D70" w:rsidRDefault="00AB2D70">
      <w:pPr>
        <w:pStyle w:val="FootnoteText"/>
      </w:pPr>
      <w:r>
        <w:rPr>
          <w:rStyle w:val="FootnoteReference"/>
        </w:rPr>
        <w:footnoteRef/>
      </w:r>
      <w:r w:rsidRPr="00644601">
        <w:t xml:space="preserve"> </w:t>
      </w:r>
      <w:r>
        <w:rPr>
          <w:lang w:val="fr-BE"/>
        </w:rPr>
        <w:t>COR 5368/2015, Rapporteur: Marco Dus (IT/PES)</w:t>
      </w:r>
    </w:p>
  </w:footnote>
  <w:footnote w:id="73">
    <w:p w14:paraId="62D7CB4F" w14:textId="0D8C3A00" w:rsidR="00E80661" w:rsidRPr="00055569" w:rsidRDefault="00E80661" w:rsidP="00A8317D">
      <w:pPr>
        <w:pStyle w:val="FootnoteText"/>
        <w:rPr>
          <w:lang w:val="fr-BE"/>
        </w:rPr>
      </w:pPr>
      <w:r>
        <w:rPr>
          <w:rStyle w:val="FootnoteReference"/>
        </w:rPr>
        <w:footnoteRef/>
      </w:r>
      <w:r w:rsidRPr="00644601">
        <w:t xml:space="preserve"> </w:t>
      </w:r>
      <w:r>
        <w:rPr>
          <w:lang w:val="fr-BE"/>
        </w:rPr>
        <w:t>COR 1412/2016, Rapporteur: Francesco Pigliaru (IT/PES)</w:t>
      </w:r>
    </w:p>
  </w:footnote>
  <w:footnote w:id="74">
    <w:p w14:paraId="4C90667C" w14:textId="5799CA6B" w:rsidR="00AB2D70" w:rsidRPr="00FC5DE9" w:rsidRDefault="00AB2D70" w:rsidP="00A8317D">
      <w:pPr>
        <w:pStyle w:val="FootnoteText"/>
        <w:rPr>
          <w:lang w:val="fr-BE"/>
        </w:rPr>
      </w:pPr>
      <w:r>
        <w:rPr>
          <w:rStyle w:val="FootnoteReference"/>
        </w:rPr>
        <w:footnoteRef/>
      </w:r>
      <w:r w:rsidRPr="00644601">
        <w:t xml:space="preserve"> </w:t>
      </w:r>
      <w:r>
        <w:rPr>
          <w:rFonts w:ascii="inherit" w:hAnsi="inherit" w:cs="Arial"/>
          <w:color w:val="000000"/>
        </w:rPr>
        <w:t>P8_TA(2016)0383</w:t>
      </w:r>
    </w:p>
  </w:footnote>
  <w:footnote w:id="75">
    <w:p w14:paraId="5AB881E8" w14:textId="4A88F872" w:rsidR="00AB2D70" w:rsidRPr="009D0C0C" w:rsidRDefault="00AB2D70" w:rsidP="00A8317D">
      <w:pPr>
        <w:pStyle w:val="FootnoteText"/>
        <w:rPr>
          <w:color w:val="000000"/>
        </w:rPr>
      </w:pPr>
      <w:r w:rsidRPr="00BE6A5E">
        <w:rPr>
          <w:rStyle w:val="FootnoteReference"/>
        </w:rPr>
        <w:footnoteRef/>
      </w:r>
      <w:r w:rsidRPr="00644601">
        <w:t xml:space="preserve"> </w:t>
      </w:r>
      <w:r w:rsidRPr="00BE6A5E">
        <w:rPr>
          <w:color w:val="000000"/>
        </w:rPr>
        <w:t>COR</w:t>
      </w:r>
      <w:r>
        <w:rPr>
          <w:color w:val="000000"/>
        </w:rPr>
        <w:t xml:space="preserve"> 2592/2015,</w:t>
      </w:r>
      <w:r w:rsidRPr="00BE6A5E">
        <w:rPr>
          <w:color w:val="000000"/>
        </w:rPr>
        <w:t xml:space="preserve"> Rapporteur: </w:t>
      </w:r>
      <w:r>
        <w:rPr>
          <w:color w:val="000000"/>
        </w:rPr>
        <w:t>Kara Tüttö</w:t>
      </w:r>
      <w:r w:rsidRPr="00BE6A5E">
        <w:rPr>
          <w:color w:val="000000"/>
        </w:rPr>
        <w:t xml:space="preserve"> (</w:t>
      </w:r>
      <w:r>
        <w:rPr>
          <w:color w:val="000000"/>
        </w:rPr>
        <w:t>HU/PES)</w:t>
      </w:r>
      <w:r w:rsidRPr="00BE6A5E">
        <w:rPr>
          <w:color w:val="000000"/>
        </w:rPr>
        <w:t>,</w:t>
      </w:r>
    </w:p>
  </w:footnote>
  <w:footnote w:id="76">
    <w:p w14:paraId="2DD9FDB3" w14:textId="150A23A8" w:rsidR="00AB2D70" w:rsidRPr="00BE6A5E" w:rsidRDefault="00AB2D70" w:rsidP="00BD7323">
      <w:pPr>
        <w:pStyle w:val="FootnoteText"/>
      </w:pPr>
      <w:r w:rsidRPr="00BE6A5E">
        <w:rPr>
          <w:rStyle w:val="FootnoteReference"/>
        </w:rPr>
        <w:footnoteRef/>
      </w:r>
      <w:r w:rsidRPr="00BE6A5E">
        <w:rPr>
          <w:rStyle w:val="FootnoteReference"/>
        </w:rPr>
        <w:t xml:space="preserve"> </w:t>
      </w:r>
      <w:r w:rsidRPr="00BE6A5E">
        <w:t>COR 1217/2014</w:t>
      </w:r>
      <w:r>
        <w:t>,</w:t>
      </w:r>
      <w:r w:rsidRPr="00BE6A5E">
        <w:t xml:space="preserve"> Rapporteur: Cor Lamers (NL/EPP)</w:t>
      </w:r>
    </w:p>
  </w:footnote>
  <w:footnote w:id="77">
    <w:p w14:paraId="1EE689CE" w14:textId="3605FB5B" w:rsidR="00AB2D70" w:rsidRPr="00BE6A5E" w:rsidRDefault="00AB2D70" w:rsidP="00BD7323">
      <w:pPr>
        <w:pStyle w:val="FootnoteText"/>
      </w:pPr>
      <w:r w:rsidRPr="00BE6A5E">
        <w:rPr>
          <w:rStyle w:val="FootnoteReference"/>
        </w:rPr>
        <w:footnoteRef/>
      </w:r>
      <w:r w:rsidRPr="00BE6A5E">
        <w:rPr>
          <w:rStyle w:val="FootnoteReference"/>
        </w:rPr>
        <w:t xml:space="preserve"> </w:t>
      </w:r>
      <w:r w:rsidRPr="00BE6A5E">
        <w:t xml:space="preserve">COR </w:t>
      </w:r>
      <w:r>
        <w:t>585/2016,</w:t>
      </w:r>
      <w:r w:rsidRPr="00BE6A5E">
        <w:t xml:space="preserve"> Rapporteur: </w:t>
      </w:r>
      <w:r>
        <w:t xml:space="preserve">Domenico Gambacorta </w:t>
      </w:r>
      <w:r w:rsidRPr="00BE6A5E">
        <w:t>(</w:t>
      </w:r>
      <w:r>
        <w:t>IT/EPP</w:t>
      </w:r>
      <w:r w:rsidRPr="00BE6A5E">
        <w:t>)</w:t>
      </w:r>
    </w:p>
  </w:footnote>
  <w:footnote w:id="78">
    <w:p w14:paraId="0D416C25" w14:textId="79BC24CE" w:rsidR="00AB2D70" w:rsidRPr="000B537F" w:rsidRDefault="00AB2D70" w:rsidP="00BD7323">
      <w:pPr>
        <w:pStyle w:val="FootnoteText"/>
        <w:rPr>
          <w:szCs w:val="16"/>
        </w:rPr>
      </w:pPr>
      <w:r w:rsidRPr="00644601">
        <w:rPr>
          <w:rStyle w:val="FootnoteReference"/>
          <w:sz w:val="22"/>
        </w:rPr>
        <w:footnoteRef/>
      </w:r>
      <w:r w:rsidRPr="00644601">
        <w:rPr>
          <w:sz w:val="22"/>
        </w:rPr>
        <w:t xml:space="preserve"> </w:t>
      </w:r>
      <w:r w:rsidRPr="000B537F">
        <w:rPr>
          <w:szCs w:val="16"/>
        </w:rPr>
        <w:t>2015/0275(COD)</w:t>
      </w:r>
    </w:p>
  </w:footnote>
  <w:footnote w:id="79">
    <w:p w14:paraId="21DE85C9" w14:textId="52D50A48" w:rsidR="00AB2D70" w:rsidRPr="00BE6A5E" w:rsidRDefault="00AB2D70" w:rsidP="00BD7323">
      <w:pPr>
        <w:pStyle w:val="FootnoteText"/>
      </w:pPr>
      <w:r w:rsidRPr="00BE6A5E">
        <w:rPr>
          <w:rStyle w:val="FootnoteReference"/>
        </w:rPr>
        <w:footnoteRef/>
      </w:r>
      <w:r w:rsidRPr="00BE6A5E">
        <w:rPr>
          <w:rStyle w:val="FootnoteReference"/>
        </w:rPr>
        <w:t xml:space="preserve"> </w:t>
      </w:r>
      <w:r w:rsidRPr="00BE6A5E">
        <w:t>COR 2624/2015</w:t>
      </w:r>
      <w:r>
        <w:t>,</w:t>
      </w:r>
      <w:r w:rsidRPr="00BE6A5E">
        <w:t xml:space="preserve"> Rapporteur: Roby Biwer (LU/PES)</w:t>
      </w:r>
    </w:p>
  </w:footnote>
  <w:footnote w:id="80">
    <w:p w14:paraId="46C7FEEB" w14:textId="3C2C3E9D" w:rsidR="00AB2D70" w:rsidRDefault="00AB2D70" w:rsidP="00A8317D">
      <w:pPr>
        <w:pStyle w:val="FootnoteText"/>
      </w:pPr>
      <w:r>
        <w:rPr>
          <w:rStyle w:val="FootnoteReference"/>
        </w:rPr>
        <w:footnoteRef/>
      </w:r>
      <w:r w:rsidRPr="00644601">
        <w:t xml:space="preserve"> </w:t>
      </w:r>
      <w:r>
        <w:rPr>
          <w:lang w:val="fr-BE"/>
        </w:rPr>
        <w:t>COR 5660/2015, Rapporteur: Andres Jaadla (LT/ALDE)</w:t>
      </w:r>
    </w:p>
  </w:footnote>
  <w:footnote w:id="81">
    <w:p w14:paraId="018B5318" w14:textId="086ACF93" w:rsidR="00AB2D70" w:rsidRPr="000C6544" w:rsidRDefault="00AB2D70" w:rsidP="00A8317D">
      <w:pPr>
        <w:pStyle w:val="FootnoteText"/>
        <w:rPr>
          <w:lang w:val="fr-BE"/>
        </w:rPr>
      </w:pPr>
      <w:r>
        <w:rPr>
          <w:rStyle w:val="FootnoteReference"/>
        </w:rPr>
        <w:footnoteRef/>
      </w:r>
      <w:r>
        <w:rPr>
          <w:lang w:val="fr-BE"/>
        </w:rPr>
        <w:t xml:space="preserve"> </w:t>
      </w:r>
      <w:r w:rsidRPr="00BB5992">
        <w:rPr>
          <w:lang w:val="fr-BE"/>
        </w:rPr>
        <w:t>http://ec.europa.eu/environment/legal/platform_en.htm</w:t>
      </w:r>
    </w:p>
  </w:footnote>
  <w:footnote w:id="82">
    <w:p w14:paraId="5C55BE6F" w14:textId="07CC8EC2" w:rsidR="00AB2D70" w:rsidRDefault="00AB2D70" w:rsidP="00E24A1B">
      <w:pPr>
        <w:pStyle w:val="FootnoteText"/>
      </w:pPr>
      <w:r>
        <w:rPr>
          <w:rStyle w:val="FootnoteReference"/>
        </w:rPr>
        <w:footnoteRef/>
      </w:r>
      <w:r w:rsidRPr="00644601">
        <w:t xml:space="preserve"> </w:t>
      </w:r>
      <w:r>
        <w:rPr>
          <w:szCs w:val="16"/>
        </w:rPr>
        <w:t>CO</w:t>
      </w:r>
      <w:r w:rsidRPr="00C25391">
        <w:rPr>
          <w:szCs w:val="16"/>
        </w:rPr>
        <w:t>R 6646/2015</w:t>
      </w:r>
      <w:r>
        <w:rPr>
          <w:szCs w:val="16"/>
        </w:rPr>
        <w:t>,</w:t>
      </w:r>
      <w:r w:rsidRPr="00C25391">
        <w:rPr>
          <w:szCs w:val="16"/>
        </w:rPr>
        <w:t xml:space="preserve"> Rapporteur: Ossi Martikainen (FI/ALDE)</w:t>
      </w:r>
    </w:p>
  </w:footnote>
  <w:footnote w:id="83">
    <w:p w14:paraId="5C55BE70" w14:textId="411947D1" w:rsidR="00AB2D70" w:rsidRDefault="00AB2D70" w:rsidP="00E24A1B">
      <w:pPr>
        <w:pStyle w:val="FootnoteText"/>
      </w:pPr>
      <w:r>
        <w:rPr>
          <w:rStyle w:val="FootnoteReference"/>
        </w:rPr>
        <w:footnoteRef/>
      </w:r>
      <w:r w:rsidRPr="00644601">
        <w:t xml:space="preserve"> </w:t>
      </w:r>
      <w:r>
        <w:rPr>
          <w:szCs w:val="16"/>
        </w:rPr>
        <w:t>CO</w:t>
      </w:r>
      <w:r w:rsidRPr="00C25391">
        <w:rPr>
          <w:szCs w:val="16"/>
        </w:rPr>
        <w:t>R 1415/2016</w:t>
      </w:r>
      <w:r>
        <w:rPr>
          <w:szCs w:val="16"/>
        </w:rPr>
        <w:t>,</w:t>
      </w:r>
      <w:r w:rsidRPr="00C25391">
        <w:rPr>
          <w:szCs w:val="16"/>
        </w:rPr>
        <w:t xml:space="preserve"> Rapporteur: Babette Winter (DE/PES)</w:t>
      </w:r>
    </w:p>
  </w:footnote>
  <w:footnote w:id="84">
    <w:p w14:paraId="5C55BE71" w14:textId="01E4EA7B" w:rsidR="00AB2D70" w:rsidRPr="0013107B" w:rsidRDefault="00AB2D70" w:rsidP="00E24A1B">
      <w:pPr>
        <w:pStyle w:val="FootnoteText"/>
        <w:rPr>
          <w:szCs w:val="16"/>
        </w:rPr>
      </w:pPr>
      <w:r w:rsidRPr="00644601">
        <w:rPr>
          <w:rStyle w:val="FootnoteReference"/>
          <w:sz w:val="22"/>
        </w:rPr>
        <w:footnoteRef/>
      </w:r>
      <w:r w:rsidRPr="00644601">
        <w:rPr>
          <w:sz w:val="22"/>
        </w:rPr>
        <w:t xml:space="preserve"> </w:t>
      </w:r>
      <w:hyperlink r:id="rId9" w:history="1">
        <w:r w:rsidRPr="00644601">
          <w:t>P8_TA(2017)0207</w:t>
        </w:r>
      </w:hyperlink>
    </w:p>
  </w:footnote>
  <w:footnote w:id="85">
    <w:p w14:paraId="5C55BE72" w14:textId="27E92AB3" w:rsidR="00AB2D70" w:rsidRDefault="00AB2D70" w:rsidP="00E06E55">
      <w:pPr>
        <w:pStyle w:val="FootnoteText"/>
      </w:pPr>
      <w:r>
        <w:rPr>
          <w:rStyle w:val="FootnoteReference"/>
        </w:rPr>
        <w:footnoteRef/>
      </w:r>
      <w:r w:rsidRPr="00644601">
        <w:t xml:space="preserve"> </w:t>
      </w:r>
      <w:r>
        <w:rPr>
          <w:szCs w:val="16"/>
        </w:rPr>
        <w:t>CO</w:t>
      </w:r>
      <w:r w:rsidRPr="003F34D8">
        <w:rPr>
          <w:szCs w:val="16"/>
        </w:rPr>
        <w:t>R 2799/2015</w:t>
      </w:r>
      <w:r>
        <w:rPr>
          <w:szCs w:val="16"/>
        </w:rPr>
        <w:t>,</w:t>
      </w:r>
      <w:r w:rsidRPr="003F34D8">
        <w:rPr>
          <w:szCs w:val="16"/>
        </w:rPr>
        <w:t xml:space="preserve"> Rapporteur – Randel Lants (ET/PES)</w:t>
      </w:r>
    </w:p>
  </w:footnote>
  <w:footnote w:id="86">
    <w:p w14:paraId="5C55BE73" w14:textId="3717E32E" w:rsidR="00AB2D70" w:rsidRDefault="00AB2D70" w:rsidP="00E06E55">
      <w:pPr>
        <w:pStyle w:val="FootnoteText"/>
      </w:pPr>
      <w:r>
        <w:rPr>
          <w:rStyle w:val="FootnoteReference"/>
        </w:rPr>
        <w:footnoteRef/>
      </w:r>
      <w:r w:rsidRPr="00644601">
        <w:t xml:space="preserve"> </w:t>
      </w:r>
      <w:hyperlink r:id="rId10" w:history="1">
        <w:r w:rsidRPr="00DD3C44">
          <w:rPr>
            <w:rStyle w:val="Hyperlink"/>
          </w:rPr>
          <w:t>https://ec.europa.eu/agriculture/events/rural-development-2016_en</w:t>
        </w:r>
      </w:hyperlink>
      <w:r>
        <w:t xml:space="preserve"> </w:t>
      </w:r>
    </w:p>
  </w:footnote>
  <w:footnote w:id="87">
    <w:p w14:paraId="5C55BE74" w14:textId="1DB2783D" w:rsidR="00AB2D70" w:rsidRPr="006900ED" w:rsidRDefault="00AB2D70" w:rsidP="00E24A1B">
      <w:pPr>
        <w:pStyle w:val="FootnoteText"/>
      </w:pPr>
      <w:r w:rsidRPr="00E776A3">
        <w:rPr>
          <w:rStyle w:val="FootnoteReference"/>
        </w:rPr>
        <w:footnoteRef/>
      </w:r>
      <w:r w:rsidRPr="00644601">
        <w:t xml:space="preserve"> </w:t>
      </w:r>
      <w:r w:rsidRPr="00E776A3">
        <w:rPr>
          <w:szCs w:val="16"/>
        </w:rPr>
        <w:t>COR 642/2015</w:t>
      </w:r>
      <w:r>
        <w:rPr>
          <w:szCs w:val="16"/>
        </w:rPr>
        <w:t>,</w:t>
      </w:r>
      <w:r w:rsidRPr="00E776A3">
        <w:rPr>
          <w:szCs w:val="16"/>
        </w:rPr>
        <w:t xml:space="preserve"> Rapporteur Rene Souchon (FR/PES)</w:t>
      </w:r>
    </w:p>
  </w:footnote>
  <w:footnote w:id="88">
    <w:p w14:paraId="70CF8599" w14:textId="62BB764D" w:rsidR="00AB2D70" w:rsidRPr="00A9103B" w:rsidRDefault="00AB2D70">
      <w:pPr>
        <w:pStyle w:val="FootnoteText"/>
        <w:rPr>
          <w:color w:val="676767"/>
          <w:szCs w:val="16"/>
        </w:rPr>
      </w:pPr>
      <w:r w:rsidRPr="00A9103B">
        <w:rPr>
          <w:rStyle w:val="FootnoteReference"/>
        </w:rPr>
        <w:footnoteRef/>
      </w:r>
      <w:r w:rsidRPr="00A9103B">
        <w:t xml:space="preserve"> </w:t>
      </w:r>
      <w:r>
        <w:rPr>
          <w:szCs w:val="16"/>
        </w:rPr>
        <w:t>CO</w:t>
      </w:r>
      <w:r w:rsidRPr="00A9103B">
        <w:rPr>
          <w:szCs w:val="16"/>
        </w:rPr>
        <w:t>R 2646/2014</w:t>
      </w:r>
      <w:r>
        <w:rPr>
          <w:szCs w:val="16"/>
        </w:rPr>
        <w:t>,</w:t>
      </w:r>
      <w:r w:rsidRPr="00A9103B">
        <w:rPr>
          <w:szCs w:val="16"/>
        </w:rPr>
        <w:t xml:space="preserve"> Rapporteur: Harvery Siggs (UK/ECR)</w:t>
      </w:r>
    </w:p>
  </w:footnote>
  <w:footnote w:id="89">
    <w:p w14:paraId="1EB44AE3" w14:textId="776A95D5" w:rsidR="00AB2D70" w:rsidRPr="00A9103B" w:rsidRDefault="00AB2D70" w:rsidP="00A9103B">
      <w:pPr>
        <w:pStyle w:val="Default"/>
        <w:rPr>
          <w:sz w:val="16"/>
          <w:szCs w:val="16"/>
        </w:rPr>
      </w:pPr>
      <w:r>
        <w:rPr>
          <w:rStyle w:val="FootnoteReference"/>
        </w:rPr>
        <w:footnoteRef/>
      </w:r>
      <w:r>
        <w:t xml:space="preserve"> </w:t>
      </w:r>
      <w:r w:rsidRPr="00A9103B">
        <w:rPr>
          <w:sz w:val="16"/>
          <w:szCs w:val="16"/>
        </w:rPr>
        <w:t>SWD(2016) 205 final/2</w:t>
      </w:r>
    </w:p>
  </w:footnote>
  <w:footnote w:id="90">
    <w:p w14:paraId="5C55BE75" w14:textId="0C825B20" w:rsidR="00AB2D70" w:rsidRDefault="00AB2D70" w:rsidP="00E24A1B">
      <w:pPr>
        <w:pStyle w:val="FootnoteText"/>
      </w:pPr>
      <w:r>
        <w:rPr>
          <w:rStyle w:val="FootnoteReference"/>
        </w:rPr>
        <w:footnoteRef/>
      </w:r>
      <w:r w:rsidRPr="00644601">
        <w:t xml:space="preserve"> </w:t>
      </w:r>
      <w:r>
        <w:t>COR 2712/2015, Rapporteur: Jesus Gamallo Aller (ES/EPP)</w:t>
      </w:r>
    </w:p>
  </w:footnote>
  <w:footnote w:id="91">
    <w:p w14:paraId="3C4D0BF9" w14:textId="7FEEA3D4" w:rsidR="00AB2D70" w:rsidRPr="00FA6F09" w:rsidRDefault="00AB2D70">
      <w:pPr>
        <w:pStyle w:val="FootnoteText"/>
        <w:rPr>
          <w:szCs w:val="16"/>
        </w:rPr>
      </w:pPr>
      <w:r>
        <w:rPr>
          <w:rStyle w:val="FootnoteReference"/>
        </w:rPr>
        <w:footnoteRef/>
      </w:r>
      <w:r w:rsidRPr="00644601">
        <w:t xml:space="preserve"> </w:t>
      </w:r>
      <w:r w:rsidRPr="00ED4E70">
        <w:rPr>
          <w:color w:val="000000"/>
          <w:szCs w:val="16"/>
        </w:rPr>
        <w:t>P8_TA(2017)0210</w:t>
      </w:r>
    </w:p>
  </w:footnote>
  <w:footnote w:id="92">
    <w:p w14:paraId="6D0C34D0" w14:textId="4FB6CC66" w:rsidR="00AB2D70" w:rsidRDefault="00AB2D70">
      <w:pPr>
        <w:pStyle w:val="FootnoteText"/>
      </w:pPr>
      <w:r w:rsidRPr="008133E6">
        <w:rPr>
          <w:rStyle w:val="FootnoteReference"/>
          <w:szCs w:val="24"/>
        </w:rPr>
        <w:footnoteRef/>
      </w:r>
      <w:r w:rsidRPr="00644601">
        <w:t xml:space="preserve"> </w:t>
      </w:r>
      <w:r>
        <w:rPr>
          <w:szCs w:val="16"/>
        </w:rPr>
        <w:t>P</w:t>
      </w:r>
      <w:r w:rsidRPr="00FA6F09">
        <w:rPr>
          <w:szCs w:val="16"/>
        </w:rPr>
        <w:t xml:space="preserve">oint </w:t>
      </w:r>
      <w:r w:rsidR="00E80661" w:rsidRPr="00FA6F09">
        <w:rPr>
          <w:szCs w:val="16"/>
        </w:rPr>
        <w:t>mentio</w:t>
      </w:r>
      <w:r w:rsidR="00E80661">
        <w:rPr>
          <w:szCs w:val="16"/>
        </w:rPr>
        <w:t>n</w:t>
      </w:r>
      <w:r w:rsidR="00E80661" w:rsidRPr="00FA6F09">
        <w:rPr>
          <w:szCs w:val="16"/>
        </w:rPr>
        <w:t>ed</w:t>
      </w:r>
      <w:r w:rsidRPr="00FA6F09">
        <w:rPr>
          <w:szCs w:val="16"/>
        </w:rPr>
        <w:t xml:space="preserve"> in the CoR opinion on </w:t>
      </w:r>
      <w:r w:rsidRPr="00FA6F09">
        <w:rPr>
          <w:szCs w:val="16"/>
          <w:lang w:val="en-US"/>
        </w:rPr>
        <w:t>the European Deposit Insurance Scheme (</w:t>
      </w:r>
      <w:r>
        <w:rPr>
          <w:szCs w:val="16"/>
        </w:rPr>
        <w:t>CO</w:t>
      </w:r>
      <w:r w:rsidRPr="00FA6F09">
        <w:rPr>
          <w:szCs w:val="16"/>
        </w:rPr>
        <w:t xml:space="preserve">R 1602/2016, Rapporteur: </w:t>
      </w:r>
      <w:r w:rsidRPr="00644601">
        <w:rPr>
          <w:rStyle w:val="Emphasis"/>
          <w:b w:val="0"/>
        </w:rPr>
        <w:t>Hans Jörg Duppré</w:t>
      </w:r>
      <w:r w:rsidRPr="00FA6F09">
        <w:rPr>
          <w:b/>
          <w:szCs w:val="16"/>
        </w:rPr>
        <w:t xml:space="preserve"> </w:t>
      </w:r>
      <w:r w:rsidRPr="00FA6F09">
        <w:rPr>
          <w:szCs w:val="16"/>
        </w:rPr>
        <w:t>(DE/EPP)</w:t>
      </w:r>
    </w:p>
  </w:footnote>
  <w:footnote w:id="93">
    <w:p w14:paraId="5C55BE76" w14:textId="5EACFED9" w:rsidR="00AB2D70" w:rsidRPr="003533EF" w:rsidRDefault="00AB2D70" w:rsidP="000C26A7">
      <w:pPr>
        <w:pStyle w:val="FootnoteText"/>
      </w:pPr>
      <w:r>
        <w:rPr>
          <w:rStyle w:val="FootnoteReference"/>
        </w:rPr>
        <w:footnoteRef/>
      </w:r>
      <w:r w:rsidRPr="00644601">
        <w:t xml:space="preserve"> </w:t>
      </w:r>
      <w:r>
        <w:t>COR 3267/2016,</w:t>
      </w:r>
      <w:r w:rsidRPr="003533EF">
        <w:t xml:space="preserve"> Rapporteur </w:t>
      </w:r>
      <w:r>
        <w:t>Vincenzo Bianco (IT/PES</w:t>
      </w:r>
      <w:r w:rsidRPr="003533EF">
        <w:t>)</w:t>
      </w:r>
      <w:r>
        <w:t>.</w:t>
      </w:r>
    </w:p>
  </w:footnote>
  <w:footnote w:id="94">
    <w:p w14:paraId="5C55BE77" w14:textId="475F1B9A" w:rsidR="00AB2D70" w:rsidRPr="003533EF" w:rsidRDefault="00AB2D70" w:rsidP="000C26A7">
      <w:pPr>
        <w:pStyle w:val="FootnoteText"/>
      </w:pPr>
      <w:r>
        <w:rPr>
          <w:rStyle w:val="FootnoteReference"/>
        </w:rPr>
        <w:footnoteRef/>
      </w:r>
      <w:r w:rsidRPr="00644601">
        <w:t xml:space="preserve"> </w:t>
      </w:r>
      <w:r w:rsidRPr="003533EF">
        <w:t>COR 5807/2016</w:t>
      </w:r>
      <w:r>
        <w:t xml:space="preserve">, </w:t>
      </w:r>
      <w:r w:rsidRPr="003533EF">
        <w:t>Rapporteur Vincenzo Bianco (IT/PES).</w:t>
      </w:r>
    </w:p>
  </w:footnote>
  <w:footnote w:id="95">
    <w:p w14:paraId="5C55BE79" w14:textId="335FECEA" w:rsidR="00AB2D70" w:rsidRDefault="00AB2D70" w:rsidP="008133E6">
      <w:pPr>
        <w:outlineLvl w:val="1"/>
      </w:pPr>
      <w:r>
        <w:rPr>
          <w:rStyle w:val="FootnoteReference"/>
        </w:rPr>
        <w:footnoteRef/>
      </w:r>
      <w:r w:rsidRPr="00644601">
        <w:t xml:space="preserve"> </w:t>
      </w:r>
      <w:r w:rsidRPr="00CD22AA">
        <w:rPr>
          <w:sz w:val="16"/>
          <w:lang w:val="en-US"/>
        </w:rPr>
        <w:t xml:space="preserve">Rapporteur </w:t>
      </w:r>
      <w:r>
        <w:rPr>
          <w:sz w:val="16"/>
          <w:lang w:val="en-US"/>
        </w:rPr>
        <w:t xml:space="preserve">Mr </w:t>
      </w:r>
      <w:r w:rsidRPr="00CD22AA">
        <w:rPr>
          <w:sz w:val="16"/>
          <w:lang w:val="en-US"/>
        </w:rPr>
        <w:t>Bianco engaged in a debate with the MEPs and members of the national parliaments in the inter-parliamentary committee meeting entitled "The third reform of the Common European Asylum System-Up for the Challenge" held by the E</w:t>
      </w:r>
      <w:r>
        <w:rPr>
          <w:sz w:val="16"/>
          <w:lang w:val="en-US"/>
        </w:rPr>
        <w:t xml:space="preserve">P </w:t>
      </w:r>
      <w:r w:rsidRPr="00CD22AA">
        <w:rPr>
          <w:sz w:val="16"/>
          <w:lang w:val="en-US"/>
        </w:rPr>
        <w:t>LIBE committee on 28 February 2017</w:t>
      </w:r>
      <w:r>
        <w:t>.</w:t>
      </w:r>
    </w:p>
  </w:footnote>
  <w:footnote w:id="96">
    <w:p w14:paraId="5C55BE7A" w14:textId="0210A25B" w:rsidR="00AB2D70" w:rsidRDefault="00AB2D70" w:rsidP="000C26A7">
      <w:pPr>
        <w:pStyle w:val="FootnoteText"/>
      </w:pPr>
      <w:r>
        <w:rPr>
          <w:rStyle w:val="FootnoteReference"/>
        </w:rPr>
        <w:footnoteRef/>
      </w:r>
      <w:r w:rsidRPr="00644601">
        <w:t xml:space="preserve"> </w:t>
      </w:r>
      <w:r>
        <w:t>COM (2016) 270</w:t>
      </w:r>
    </w:p>
  </w:footnote>
  <w:footnote w:id="97">
    <w:p w14:paraId="5C55BE7B" w14:textId="53312C43" w:rsidR="00AB2D70" w:rsidRDefault="00AB2D70" w:rsidP="000C26A7">
      <w:pPr>
        <w:pStyle w:val="FootnoteText"/>
      </w:pPr>
      <w:r w:rsidRPr="00E72CF5">
        <w:rPr>
          <w:rStyle w:val="FootnoteReference"/>
        </w:rPr>
        <w:footnoteRef/>
      </w:r>
      <w:r w:rsidRPr="00644601">
        <w:t xml:space="preserve"> </w:t>
      </w:r>
      <w:hyperlink r:id="rId11" w:tgtFrame="_blank" w:history="1">
        <w:r w:rsidRPr="00644601">
          <w:rPr>
            <w:sz w:val="15"/>
          </w:rPr>
          <w:t>PE 599.751</w:t>
        </w:r>
      </w:hyperlink>
    </w:p>
  </w:footnote>
  <w:footnote w:id="98">
    <w:p w14:paraId="5C55BE7C" w14:textId="4DD250AD" w:rsidR="00AB2D70" w:rsidRDefault="00AB2D70" w:rsidP="00707FB6">
      <w:pPr>
        <w:pStyle w:val="FootnoteText"/>
      </w:pPr>
      <w:r>
        <w:rPr>
          <w:rStyle w:val="FootnoteReference"/>
        </w:rPr>
        <w:footnoteRef/>
      </w:r>
      <w:r w:rsidRPr="00644601">
        <w:t xml:space="preserve"> </w:t>
      </w:r>
      <w:r>
        <w:t>COR 6328/2015, Rapporteur Hans Janssen (NL/EPP)</w:t>
      </w:r>
    </w:p>
  </w:footnote>
  <w:footnote w:id="99">
    <w:p w14:paraId="5C55BE7D" w14:textId="1D67C86C" w:rsidR="00AB2D70" w:rsidRDefault="00AB2D70" w:rsidP="00707FB6">
      <w:pPr>
        <w:pStyle w:val="FootnoteText"/>
      </w:pPr>
      <w:r>
        <w:rPr>
          <w:rStyle w:val="FootnoteReference"/>
        </w:rPr>
        <w:footnoteRef/>
      </w:r>
      <w:r w:rsidRPr="00644601">
        <w:t xml:space="preserve"> </w:t>
      </w:r>
      <w:r>
        <w:t xml:space="preserve">Council </w:t>
      </w:r>
      <w:r w:rsidR="006D575A">
        <w:t>c</w:t>
      </w:r>
      <w:r>
        <w:t>onclusions of 12 May 2016</w:t>
      </w:r>
    </w:p>
  </w:footnote>
  <w:footnote w:id="100">
    <w:p w14:paraId="5C55BE7E" w14:textId="2C982B4E" w:rsidR="00AB2D70" w:rsidRDefault="00AB2D70" w:rsidP="00707FB6">
      <w:pPr>
        <w:pStyle w:val="FootnoteText"/>
      </w:pPr>
      <w:r>
        <w:rPr>
          <w:rStyle w:val="FootnoteReference"/>
        </w:rPr>
        <w:footnoteRef/>
      </w:r>
      <w:r w:rsidRPr="00644601">
        <w:t xml:space="preserve"> </w:t>
      </w:r>
      <w:r>
        <w:t>COR 6329/2015, Rapporteur: Bart Somers (BE/ALDE).</w:t>
      </w:r>
    </w:p>
  </w:footnote>
  <w:footnote w:id="101">
    <w:p w14:paraId="00C7B9E8" w14:textId="60B994DD" w:rsidR="00AB2D70" w:rsidRDefault="00AB2D70" w:rsidP="00644601">
      <w:pPr>
        <w:pStyle w:val="FootnoteText"/>
        <w:ind w:left="284" w:hanging="284"/>
      </w:pPr>
      <w:r>
        <w:rPr>
          <w:rStyle w:val="FootnoteReference"/>
        </w:rPr>
        <w:footnoteRef/>
      </w:r>
      <w:r w:rsidRPr="00644601">
        <w:t xml:space="preserve"> </w:t>
      </w:r>
      <w:r>
        <w:t xml:space="preserve">The first study </w:t>
      </w:r>
      <w:r w:rsidR="00E80661">
        <w:t>visit took</w:t>
      </w:r>
      <w:r>
        <w:t xml:space="preserve"> place in February when a delegation of 5 MEPs and some CoR members visited Mechelen and were informed on</w:t>
      </w:r>
      <w:r w:rsidRPr="00707FB6">
        <w:t xml:space="preserve"> best practices of Mechelen with regard to</w:t>
      </w:r>
      <w:r>
        <w:t xml:space="preserve"> </w:t>
      </w:r>
      <w:r w:rsidRPr="00707FB6">
        <w:t>anti-radicalisation polic</w:t>
      </w:r>
      <w:r>
        <w:t>i</w:t>
      </w:r>
      <w:r w:rsidRPr="00707FB6">
        <w:t>es</w:t>
      </w:r>
      <w:r>
        <w:t>. The second took place in October with the direct participation of the Commissioner</w:t>
      </w:r>
      <w:r w:rsidRPr="009E171A">
        <w:t xml:space="preserve"> for the Security Union</w:t>
      </w:r>
      <w:r>
        <w:t>, Julian</w:t>
      </w:r>
      <w:r w:rsidRPr="000E090C">
        <w:t xml:space="preserve"> </w:t>
      </w:r>
      <w:r>
        <w:t>King.</w:t>
      </w:r>
    </w:p>
  </w:footnote>
  <w:footnote w:id="102">
    <w:p w14:paraId="7EC64DEC" w14:textId="4A90C21E" w:rsidR="00AB2D70" w:rsidRDefault="00AB2D70">
      <w:pPr>
        <w:pStyle w:val="FootnoteText"/>
      </w:pPr>
      <w:r>
        <w:rPr>
          <w:rStyle w:val="FootnoteReference"/>
        </w:rPr>
        <w:footnoteRef/>
      </w:r>
      <w:r w:rsidRPr="00644601">
        <w:t xml:space="preserve"> </w:t>
      </w:r>
      <w:r w:rsidRPr="008A75AE">
        <w:t>P8_TA(2016)0409</w:t>
      </w:r>
    </w:p>
  </w:footnote>
  <w:footnote w:id="103">
    <w:p w14:paraId="5C55BE80" w14:textId="2E3CF941" w:rsidR="00AB2D70" w:rsidRDefault="00AB2D70" w:rsidP="00711657">
      <w:pPr>
        <w:pStyle w:val="FootnoteText"/>
      </w:pPr>
      <w:r>
        <w:rPr>
          <w:rStyle w:val="FootnoteReference"/>
        </w:rPr>
        <w:footnoteRef/>
      </w:r>
      <w:r w:rsidRPr="00644601">
        <w:t xml:space="preserve"> </w:t>
      </w:r>
      <w:r>
        <w:t>COR 982/2016, Rapporteur: Anne Quart (DE/PES)</w:t>
      </w:r>
    </w:p>
  </w:footnote>
  <w:footnote w:id="104">
    <w:p w14:paraId="733E689E" w14:textId="7432F872" w:rsidR="00AB2D70" w:rsidRDefault="00AB2D70" w:rsidP="000B0151">
      <w:pPr>
        <w:pStyle w:val="FootnoteText"/>
      </w:pPr>
      <w:r>
        <w:rPr>
          <w:rStyle w:val="FootnoteReference"/>
        </w:rPr>
        <w:footnoteRef/>
      </w:r>
      <w:r w:rsidRPr="00644601">
        <w:t xml:space="preserve"> </w:t>
      </w:r>
      <w:r>
        <w:t>EC Support Group for Ukraine, Congress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BE11" w14:textId="77777777" w:rsidR="00AB2D70" w:rsidRPr="005B2CFF" w:rsidRDefault="00AB2D70" w:rsidP="002D22DF">
    <w:pPr>
      <w:pStyle w:val="Header"/>
      <w:jc w:val="center"/>
      <w:rPr>
        <w:lang w:val="nl-BE"/>
      </w:rPr>
    </w:pPr>
    <w:r w:rsidRPr="005B2CFF">
      <w:rPr>
        <w:lang w:val="nl-BE"/>
      </w:rPr>
      <w:t xml:space="preserve">- </w:t>
    </w:r>
    <w:r w:rsidRPr="005B2CFF">
      <w:fldChar w:fldCharType="begin"/>
    </w:r>
    <w:r w:rsidRPr="005B2CFF">
      <w:instrText xml:space="preserve"> PAGE  \* MERGEFORMAT </w:instrText>
    </w:r>
    <w:r w:rsidRPr="005B2CFF">
      <w:fldChar w:fldCharType="separate"/>
    </w:r>
    <w:r w:rsidRPr="005B2CFF">
      <w:t>0</w:t>
    </w:r>
    <w:r w:rsidRPr="005B2CFF">
      <w:fldChar w:fldCharType="end"/>
    </w:r>
    <w:r w:rsidRPr="005B2CFF">
      <w:rPr>
        <w:lang w:val="nl-B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BE14" w14:textId="77777777" w:rsidR="00AB2D70" w:rsidRDefault="00AB2D70" w:rsidP="002D22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BE15" w14:textId="77777777" w:rsidR="00AB2D70" w:rsidRPr="005B2CFF" w:rsidRDefault="00AB2D70" w:rsidP="002D22DF">
    <w:pPr>
      <w:pStyle w:val="Header"/>
      <w:jc w:val="center"/>
      <w:rPr>
        <w:lang w:val="nl-B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BE18" w14:textId="77777777" w:rsidR="00AB2D70" w:rsidRPr="005B2CFF" w:rsidRDefault="00AB2D70" w:rsidP="002D22DF">
    <w:pPr>
      <w:pStyle w:val="Header"/>
      <w:rPr>
        <w:lang w:val="nl-B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254301"/>
      <w:docPartObj>
        <w:docPartGallery w:val="Page Numbers (Top of Page)"/>
        <w:docPartUnique/>
      </w:docPartObj>
    </w:sdtPr>
    <w:sdtEndPr/>
    <w:sdtContent>
      <w:p w14:paraId="5C55BE1A" w14:textId="77777777" w:rsidR="00AB2D70" w:rsidRPr="00644601" w:rsidRDefault="00AB2D70">
        <w:pPr>
          <w:pStyle w:val="Header"/>
          <w:jc w:val="center"/>
          <w:rPr>
            <w:lang w:val="nl-BE"/>
          </w:rPr>
        </w:pPr>
        <w:r w:rsidRPr="005B2CFF">
          <w:fldChar w:fldCharType="begin"/>
        </w:r>
        <w:r w:rsidRPr="005B2CFF">
          <w:instrText xml:space="preserve"> PAGE   \* MERGEFORMAT </w:instrText>
        </w:r>
        <w:r w:rsidRPr="005B2CFF">
          <w:fldChar w:fldCharType="separate"/>
        </w:r>
        <w:r w:rsidR="0034063B">
          <w:rPr>
            <w:noProof/>
          </w:rPr>
          <w:t>8</w:t>
        </w:r>
        <w:r w:rsidRPr="005B2CFF">
          <w:fldChar w:fldCharType="end"/>
        </w:r>
      </w:p>
    </w:sdtContent>
  </w:sdt>
  <w:p w14:paraId="5C55BE1B" w14:textId="77777777" w:rsidR="00AB2D70" w:rsidRPr="005B2CFF" w:rsidRDefault="00AB2D70" w:rsidP="002D22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FEE6492"/>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rPr>
        <w:b/>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113D68"/>
    <w:multiLevelType w:val="singleLevel"/>
    <w:tmpl w:val="77C2CDCA"/>
    <w:lvl w:ilvl="0">
      <w:start w:val="1"/>
      <w:numFmt w:val="bullet"/>
      <w:lvlText w:val=""/>
      <w:lvlJc w:val="left"/>
      <w:pPr>
        <w:ind w:left="720" w:hanging="360"/>
      </w:pPr>
      <w:rPr>
        <w:rFonts w:ascii="Symbol" w:hAnsi="Symbol" w:hint="default"/>
      </w:rPr>
    </w:lvl>
  </w:abstractNum>
  <w:abstractNum w:abstractNumId="2" w15:restartNumberingAfterBreak="0">
    <w:nsid w:val="023F4DEC"/>
    <w:multiLevelType w:val="singleLevel"/>
    <w:tmpl w:val="9D9862BA"/>
    <w:lvl w:ilvl="0">
      <w:start w:val="1"/>
      <w:numFmt w:val="bullet"/>
      <w:lvlText w:val=""/>
      <w:lvlJc w:val="left"/>
      <w:pPr>
        <w:ind w:left="360" w:hanging="360"/>
      </w:pPr>
      <w:rPr>
        <w:rFonts w:ascii="Symbol" w:hAnsi="Symbol" w:hint="default"/>
      </w:rPr>
    </w:lvl>
  </w:abstractNum>
  <w:abstractNum w:abstractNumId="3" w15:restartNumberingAfterBreak="0">
    <w:nsid w:val="02AF2EB9"/>
    <w:multiLevelType w:val="singleLevel"/>
    <w:tmpl w:val="DBA4CFB0"/>
    <w:lvl w:ilvl="0">
      <w:start w:val="1"/>
      <w:numFmt w:val="bullet"/>
      <w:lvlText w:val=""/>
      <w:lvlJc w:val="left"/>
      <w:pPr>
        <w:ind w:left="720" w:hanging="360"/>
      </w:pPr>
      <w:rPr>
        <w:rFonts w:ascii="Symbol" w:hAnsi="Symbol" w:hint="default"/>
      </w:rPr>
    </w:lvl>
  </w:abstractNum>
  <w:abstractNum w:abstractNumId="4" w15:restartNumberingAfterBreak="0">
    <w:nsid w:val="02B87AE9"/>
    <w:multiLevelType w:val="hybridMultilevel"/>
    <w:tmpl w:val="2196C2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3602A7E"/>
    <w:multiLevelType w:val="singleLevel"/>
    <w:tmpl w:val="8286C518"/>
    <w:lvl w:ilvl="0">
      <w:start w:val="1"/>
      <w:numFmt w:val="bullet"/>
      <w:lvlText w:val=""/>
      <w:lvlJc w:val="left"/>
      <w:pPr>
        <w:ind w:left="720" w:hanging="360"/>
      </w:pPr>
      <w:rPr>
        <w:rFonts w:ascii="Symbol" w:hAnsi="Symbol" w:hint="default"/>
      </w:rPr>
    </w:lvl>
  </w:abstractNum>
  <w:abstractNum w:abstractNumId="6" w15:restartNumberingAfterBreak="0">
    <w:nsid w:val="0430516C"/>
    <w:multiLevelType w:val="singleLevel"/>
    <w:tmpl w:val="A182A3B8"/>
    <w:lvl w:ilvl="0">
      <w:start w:val="1"/>
      <w:numFmt w:val="bullet"/>
      <w:lvlText w:val=""/>
      <w:lvlJc w:val="left"/>
      <w:pPr>
        <w:ind w:left="720" w:hanging="360"/>
      </w:pPr>
      <w:rPr>
        <w:rFonts w:ascii="Symbol" w:hAnsi="Symbol" w:hint="default"/>
      </w:rPr>
    </w:lvl>
  </w:abstractNum>
  <w:abstractNum w:abstractNumId="7" w15:restartNumberingAfterBreak="0">
    <w:nsid w:val="044035B2"/>
    <w:multiLevelType w:val="hybridMultilevel"/>
    <w:tmpl w:val="406CC4A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06366F10"/>
    <w:multiLevelType w:val="singleLevel"/>
    <w:tmpl w:val="5234E6BE"/>
    <w:lvl w:ilvl="0">
      <w:start w:val="1"/>
      <w:numFmt w:val="bullet"/>
      <w:lvlText w:val=""/>
      <w:lvlJc w:val="left"/>
      <w:pPr>
        <w:ind w:left="720" w:hanging="360"/>
      </w:pPr>
      <w:rPr>
        <w:rFonts w:ascii="Symbol" w:hAnsi="Symbol" w:hint="default"/>
      </w:rPr>
    </w:lvl>
  </w:abstractNum>
  <w:abstractNum w:abstractNumId="9" w15:restartNumberingAfterBreak="0">
    <w:nsid w:val="06C15B85"/>
    <w:multiLevelType w:val="singleLevel"/>
    <w:tmpl w:val="5E00925E"/>
    <w:lvl w:ilvl="0">
      <w:start w:val="1"/>
      <w:numFmt w:val="bullet"/>
      <w:lvlText w:val=""/>
      <w:lvlJc w:val="left"/>
      <w:pPr>
        <w:ind w:left="720" w:hanging="360"/>
      </w:pPr>
      <w:rPr>
        <w:rFonts w:ascii="Symbol" w:hAnsi="Symbol" w:hint="default"/>
      </w:rPr>
    </w:lvl>
  </w:abstractNum>
  <w:abstractNum w:abstractNumId="10" w15:restartNumberingAfterBreak="0">
    <w:nsid w:val="06FE7BC2"/>
    <w:multiLevelType w:val="hybridMultilevel"/>
    <w:tmpl w:val="0316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8D58FC"/>
    <w:multiLevelType w:val="singleLevel"/>
    <w:tmpl w:val="8286C518"/>
    <w:lvl w:ilvl="0">
      <w:start w:val="1"/>
      <w:numFmt w:val="bullet"/>
      <w:lvlText w:val=""/>
      <w:lvlJc w:val="left"/>
      <w:pPr>
        <w:ind w:left="720" w:hanging="360"/>
      </w:pPr>
      <w:rPr>
        <w:rFonts w:ascii="Symbol" w:hAnsi="Symbol" w:hint="default"/>
      </w:rPr>
    </w:lvl>
  </w:abstractNum>
  <w:abstractNum w:abstractNumId="12" w15:restartNumberingAfterBreak="0">
    <w:nsid w:val="09647F5E"/>
    <w:multiLevelType w:val="singleLevel"/>
    <w:tmpl w:val="77C2CDCA"/>
    <w:lvl w:ilvl="0">
      <w:start w:val="1"/>
      <w:numFmt w:val="bullet"/>
      <w:lvlText w:val=""/>
      <w:lvlJc w:val="left"/>
      <w:pPr>
        <w:ind w:left="720" w:hanging="360"/>
      </w:pPr>
      <w:rPr>
        <w:rFonts w:ascii="Symbol" w:hAnsi="Symbol" w:hint="default"/>
      </w:rPr>
    </w:lvl>
  </w:abstractNum>
  <w:abstractNum w:abstractNumId="13" w15:restartNumberingAfterBreak="0">
    <w:nsid w:val="09942CA0"/>
    <w:multiLevelType w:val="singleLevel"/>
    <w:tmpl w:val="5E00925E"/>
    <w:lvl w:ilvl="0">
      <w:start w:val="1"/>
      <w:numFmt w:val="bullet"/>
      <w:lvlText w:val=""/>
      <w:lvlJc w:val="left"/>
      <w:pPr>
        <w:ind w:left="720" w:hanging="360"/>
      </w:pPr>
      <w:rPr>
        <w:rFonts w:ascii="Symbol" w:hAnsi="Symbol" w:hint="default"/>
      </w:rPr>
    </w:lvl>
  </w:abstractNum>
  <w:abstractNum w:abstractNumId="14" w15:restartNumberingAfterBreak="0">
    <w:nsid w:val="0A9F145C"/>
    <w:multiLevelType w:val="singleLevel"/>
    <w:tmpl w:val="21646566"/>
    <w:lvl w:ilvl="0">
      <w:start w:val="1"/>
      <w:numFmt w:val="bullet"/>
      <w:lvlText w:val=""/>
      <w:lvlJc w:val="left"/>
      <w:pPr>
        <w:ind w:left="720" w:hanging="360"/>
      </w:pPr>
      <w:rPr>
        <w:rFonts w:ascii="Symbol" w:hAnsi="Symbol" w:hint="default"/>
      </w:rPr>
    </w:lvl>
  </w:abstractNum>
  <w:abstractNum w:abstractNumId="15" w15:restartNumberingAfterBreak="0">
    <w:nsid w:val="0AE23E46"/>
    <w:multiLevelType w:val="singleLevel"/>
    <w:tmpl w:val="E24C097C"/>
    <w:lvl w:ilvl="0">
      <w:start w:val="1"/>
      <w:numFmt w:val="bullet"/>
      <w:lvlText w:val=""/>
      <w:lvlJc w:val="left"/>
      <w:pPr>
        <w:ind w:left="720" w:hanging="360"/>
      </w:pPr>
      <w:rPr>
        <w:rFonts w:ascii="Symbol" w:hAnsi="Symbol" w:hint="default"/>
      </w:rPr>
    </w:lvl>
  </w:abstractNum>
  <w:abstractNum w:abstractNumId="16" w15:restartNumberingAfterBreak="0">
    <w:nsid w:val="0C315E72"/>
    <w:multiLevelType w:val="singleLevel"/>
    <w:tmpl w:val="CABAE97A"/>
    <w:lvl w:ilvl="0">
      <w:start w:val="1"/>
      <w:numFmt w:val="bullet"/>
      <w:lvlText w:val=""/>
      <w:lvlJc w:val="left"/>
      <w:pPr>
        <w:ind w:left="720" w:hanging="360"/>
      </w:pPr>
      <w:rPr>
        <w:rFonts w:ascii="Symbol" w:hAnsi="Symbol" w:hint="default"/>
      </w:rPr>
    </w:lvl>
  </w:abstractNum>
  <w:abstractNum w:abstractNumId="17" w15:restartNumberingAfterBreak="0">
    <w:nsid w:val="0D46795C"/>
    <w:multiLevelType w:val="singleLevel"/>
    <w:tmpl w:val="77C2CDCA"/>
    <w:lvl w:ilvl="0">
      <w:start w:val="1"/>
      <w:numFmt w:val="bullet"/>
      <w:lvlText w:val=""/>
      <w:lvlJc w:val="left"/>
      <w:pPr>
        <w:ind w:left="720" w:hanging="360"/>
      </w:pPr>
      <w:rPr>
        <w:rFonts w:ascii="Symbol" w:hAnsi="Symbol" w:hint="default"/>
      </w:rPr>
    </w:lvl>
  </w:abstractNum>
  <w:abstractNum w:abstractNumId="18" w15:restartNumberingAfterBreak="0">
    <w:nsid w:val="0DEB10E4"/>
    <w:multiLevelType w:val="hybridMultilevel"/>
    <w:tmpl w:val="636CC3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0E562624"/>
    <w:multiLevelType w:val="singleLevel"/>
    <w:tmpl w:val="4A1ECE02"/>
    <w:lvl w:ilvl="0">
      <w:start w:val="1"/>
      <w:numFmt w:val="bullet"/>
      <w:lvlText w:val=""/>
      <w:lvlJc w:val="left"/>
      <w:pPr>
        <w:ind w:left="720" w:hanging="360"/>
      </w:pPr>
      <w:rPr>
        <w:rFonts w:ascii="Symbol" w:hAnsi="Symbol" w:hint="default"/>
      </w:rPr>
    </w:lvl>
  </w:abstractNum>
  <w:abstractNum w:abstractNumId="20" w15:restartNumberingAfterBreak="0">
    <w:nsid w:val="0F112D21"/>
    <w:multiLevelType w:val="singleLevel"/>
    <w:tmpl w:val="5E00925E"/>
    <w:lvl w:ilvl="0">
      <w:start w:val="1"/>
      <w:numFmt w:val="bullet"/>
      <w:lvlText w:val=""/>
      <w:lvlJc w:val="left"/>
      <w:pPr>
        <w:ind w:left="720" w:hanging="360"/>
      </w:pPr>
      <w:rPr>
        <w:rFonts w:ascii="Symbol" w:hAnsi="Symbol" w:hint="default"/>
      </w:rPr>
    </w:lvl>
  </w:abstractNum>
  <w:abstractNum w:abstractNumId="21" w15:restartNumberingAfterBreak="0">
    <w:nsid w:val="0F9A3BE8"/>
    <w:multiLevelType w:val="singleLevel"/>
    <w:tmpl w:val="4F7C9BBC"/>
    <w:lvl w:ilvl="0">
      <w:start w:val="1"/>
      <w:numFmt w:val="bullet"/>
      <w:lvlText w:val=""/>
      <w:lvlJc w:val="left"/>
      <w:pPr>
        <w:ind w:left="2199" w:hanging="360"/>
      </w:pPr>
      <w:rPr>
        <w:rFonts w:ascii="Symbol" w:hAnsi="Symbol" w:hint="default"/>
      </w:rPr>
    </w:lvl>
  </w:abstractNum>
  <w:abstractNum w:abstractNumId="22" w15:restartNumberingAfterBreak="0">
    <w:nsid w:val="10A24720"/>
    <w:multiLevelType w:val="singleLevel"/>
    <w:tmpl w:val="4A1ECE02"/>
    <w:lvl w:ilvl="0">
      <w:start w:val="1"/>
      <w:numFmt w:val="bullet"/>
      <w:lvlText w:val=""/>
      <w:lvlJc w:val="left"/>
      <w:pPr>
        <w:ind w:left="720" w:hanging="360"/>
      </w:pPr>
      <w:rPr>
        <w:rFonts w:ascii="Symbol" w:hAnsi="Symbol" w:hint="default"/>
      </w:rPr>
    </w:lvl>
  </w:abstractNum>
  <w:abstractNum w:abstractNumId="23" w15:restartNumberingAfterBreak="0">
    <w:nsid w:val="11D30506"/>
    <w:multiLevelType w:val="multilevel"/>
    <w:tmpl w:val="C52A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1DA0550"/>
    <w:multiLevelType w:val="singleLevel"/>
    <w:tmpl w:val="5234E6BE"/>
    <w:lvl w:ilvl="0">
      <w:start w:val="1"/>
      <w:numFmt w:val="bullet"/>
      <w:lvlText w:val=""/>
      <w:lvlJc w:val="left"/>
      <w:pPr>
        <w:ind w:left="720" w:hanging="360"/>
      </w:pPr>
      <w:rPr>
        <w:rFonts w:ascii="Symbol" w:hAnsi="Symbol" w:hint="default"/>
      </w:rPr>
    </w:lvl>
  </w:abstractNum>
  <w:abstractNum w:abstractNumId="25" w15:restartNumberingAfterBreak="0">
    <w:nsid w:val="12381F59"/>
    <w:multiLevelType w:val="singleLevel"/>
    <w:tmpl w:val="4F7C9BBC"/>
    <w:lvl w:ilvl="0">
      <w:start w:val="1"/>
      <w:numFmt w:val="bullet"/>
      <w:lvlText w:val=""/>
      <w:lvlJc w:val="left"/>
      <w:pPr>
        <w:ind w:left="2199" w:hanging="360"/>
      </w:pPr>
      <w:rPr>
        <w:rFonts w:ascii="Symbol" w:hAnsi="Symbol" w:hint="default"/>
      </w:rPr>
    </w:lvl>
  </w:abstractNum>
  <w:abstractNum w:abstractNumId="26" w15:restartNumberingAfterBreak="0">
    <w:nsid w:val="13C9286B"/>
    <w:multiLevelType w:val="singleLevel"/>
    <w:tmpl w:val="77C2CDCA"/>
    <w:lvl w:ilvl="0">
      <w:start w:val="1"/>
      <w:numFmt w:val="bullet"/>
      <w:lvlText w:val=""/>
      <w:lvlJc w:val="left"/>
      <w:pPr>
        <w:ind w:left="720" w:hanging="360"/>
      </w:pPr>
      <w:rPr>
        <w:rFonts w:ascii="Symbol" w:hAnsi="Symbol" w:hint="default"/>
      </w:rPr>
    </w:lvl>
  </w:abstractNum>
  <w:abstractNum w:abstractNumId="27" w15:restartNumberingAfterBreak="0">
    <w:nsid w:val="143B5EDB"/>
    <w:multiLevelType w:val="hybridMultilevel"/>
    <w:tmpl w:val="A182A3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158C5020"/>
    <w:multiLevelType w:val="singleLevel"/>
    <w:tmpl w:val="ECA29264"/>
    <w:lvl w:ilvl="0">
      <w:start w:val="1"/>
      <w:numFmt w:val="bullet"/>
      <w:lvlText w:val=""/>
      <w:lvlJc w:val="left"/>
      <w:pPr>
        <w:ind w:left="1429" w:hanging="360"/>
      </w:pPr>
      <w:rPr>
        <w:rFonts w:ascii="Symbol" w:hAnsi="Symbol" w:hint="default"/>
      </w:rPr>
    </w:lvl>
  </w:abstractNum>
  <w:abstractNum w:abstractNumId="29" w15:restartNumberingAfterBreak="0">
    <w:nsid w:val="15C43B7C"/>
    <w:multiLevelType w:val="singleLevel"/>
    <w:tmpl w:val="9D9862BA"/>
    <w:lvl w:ilvl="0">
      <w:start w:val="1"/>
      <w:numFmt w:val="bullet"/>
      <w:lvlText w:val=""/>
      <w:lvlJc w:val="left"/>
      <w:pPr>
        <w:ind w:left="360" w:hanging="360"/>
      </w:pPr>
      <w:rPr>
        <w:rFonts w:ascii="Symbol" w:hAnsi="Symbol" w:hint="default"/>
      </w:rPr>
    </w:lvl>
  </w:abstractNum>
  <w:abstractNum w:abstractNumId="30" w15:restartNumberingAfterBreak="0">
    <w:nsid w:val="15E40A69"/>
    <w:multiLevelType w:val="singleLevel"/>
    <w:tmpl w:val="4F7C9BBC"/>
    <w:lvl w:ilvl="0">
      <w:start w:val="1"/>
      <w:numFmt w:val="bullet"/>
      <w:lvlText w:val=""/>
      <w:lvlJc w:val="left"/>
      <w:pPr>
        <w:ind w:left="2199" w:hanging="360"/>
      </w:pPr>
      <w:rPr>
        <w:rFonts w:ascii="Symbol" w:hAnsi="Symbol" w:hint="default"/>
      </w:rPr>
    </w:lvl>
  </w:abstractNum>
  <w:abstractNum w:abstractNumId="31" w15:restartNumberingAfterBreak="0">
    <w:nsid w:val="15FE58E1"/>
    <w:multiLevelType w:val="singleLevel"/>
    <w:tmpl w:val="A182A3B8"/>
    <w:lvl w:ilvl="0">
      <w:start w:val="1"/>
      <w:numFmt w:val="bullet"/>
      <w:lvlText w:val=""/>
      <w:lvlJc w:val="left"/>
      <w:pPr>
        <w:ind w:left="720" w:hanging="360"/>
      </w:pPr>
      <w:rPr>
        <w:rFonts w:ascii="Symbol" w:hAnsi="Symbol" w:hint="default"/>
      </w:rPr>
    </w:lvl>
  </w:abstractNum>
  <w:abstractNum w:abstractNumId="32" w15:restartNumberingAfterBreak="0">
    <w:nsid w:val="160F6491"/>
    <w:multiLevelType w:val="singleLevel"/>
    <w:tmpl w:val="CABAE97A"/>
    <w:lvl w:ilvl="0">
      <w:start w:val="1"/>
      <w:numFmt w:val="bullet"/>
      <w:lvlText w:val=""/>
      <w:lvlJc w:val="left"/>
      <w:pPr>
        <w:ind w:left="720" w:hanging="360"/>
      </w:pPr>
      <w:rPr>
        <w:rFonts w:ascii="Symbol" w:hAnsi="Symbol" w:hint="default"/>
      </w:rPr>
    </w:lvl>
  </w:abstractNum>
  <w:abstractNum w:abstractNumId="33" w15:restartNumberingAfterBreak="0">
    <w:nsid w:val="16533287"/>
    <w:multiLevelType w:val="singleLevel"/>
    <w:tmpl w:val="3E328A9E"/>
    <w:lvl w:ilvl="0">
      <w:start w:val="1"/>
      <w:numFmt w:val="bullet"/>
      <w:lvlText w:val=""/>
      <w:lvlJc w:val="left"/>
      <w:pPr>
        <w:ind w:left="360" w:hanging="360"/>
      </w:pPr>
      <w:rPr>
        <w:rFonts w:ascii="Symbol" w:hAnsi="Symbol" w:hint="default"/>
      </w:rPr>
    </w:lvl>
  </w:abstractNum>
  <w:abstractNum w:abstractNumId="34" w15:restartNumberingAfterBreak="0">
    <w:nsid w:val="16613BC0"/>
    <w:multiLevelType w:val="singleLevel"/>
    <w:tmpl w:val="529CA292"/>
    <w:lvl w:ilvl="0">
      <w:start w:val="1"/>
      <w:numFmt w:val="bullet"/>
      <w:lvlText w:val=""/>
      <w:lvlJc w:val="left"/>
      <w:pPr>
        <w:ind w:left="1080" w:hanging="360"/>
      </w:pPr>
      <w:rPr>
        <w:rFonts w:ascii="Symbol" w:hAnsi="Symbol" w:hint="default"/>
      </w:rPr>
    </w:lvl>
  </w:abstractNum>
  <w:abstractNum w:abstractNumId="35" w15:restartNumberingAfterBreak="0">
    <w:nsid w:val="17303405"/>
    <w:multiLevelType w:val="singleLevel"/>
    <w:tmpl w:val="4F7C9BBC"/>
    <w:lvl w:ilvl="0">
      <w:start w:val="1"/>
      <w:numFmt w:val="bullet"/>
      <w:lvlText w:val=""/>
      <w:lvlJc w:val="left"/>
      <w:pPr>
        <w:ind w:left="2199" w:hanging="360"/>
      </w:pPr>
      <w:rPr>
        <w:rFonts w:ascii="Symbol" w:hAnsi="Symbol" w:hint="default"/>
      </w:rPr>
    </w:lvl>
  </w:abstractNum>
  <w:abstractNum w:abstractNumId="36" w15:restartNumberingAfterBreak="0">
    <w:nsid w:val="17FD00A5"/>
    <w:multiLevelType w:val="hybridMultilevel"/>
    <w:tmpl w:val="F59A9872"/>
    <w:lvl w:ilvl="0" w:tplc="080C0001">
      <w:start w:val="1"/>
      <w:numFmt w:val="bullet"/>
      <w:lvlText w:val=""/>
      <w:lvlJc w:val="left"/>
      <w:pPr>
        <w:ind w:left="783" w:hanging="360"/>
      </w:pPr>
      <w:rPr>
        <w:rFonts w:ascii="Symbol" w:hAnsi="Symbol" w:hint="default"/>
      </w:rPr>
    </w:lvl>
    <w:lvl w:ilvl="1" w:tplc="080C0003" w:tentative="1">
      <w:start w:val="1"/>
      <w:numFmt w:val="bullet"/>
      <w:lvlText w:val="o"/>
      <w:lvlJc w:val="left"/>
      <w:pPr>
        <w:ind w:left="1503" w:hanging="360"/>
      </w:pPr>
      <w:rPr>
        <w:rFonts w:ascii="Courier New" w:hAnsi="Courier New" w:cs="Courier New" w:hint="default"/>
      </w:rPr>
    </w:lvl>
    <w:lvl w:ilvl="2" w:tplc="080C0005" w:tentative="1">
      <w:start w:val="1"/>
      <w:numFmt w:val="bullet"/>
      <w:lvlText w:val=""/>
      <w:lvlJc w:val="left"/>
      <w:pPr>
        <w:ind w:left="2223" w:hanging="360"/>
      </w:pPr>
      <w:rPr>
        <w:rFonts w:ascii="Wingdings" w:hAnsi="Wingdings" w:hint="default"/>
      </w:rPr>
    </w:lvl>
    <w:lvl w:ilvl="3" w:tplc="080C0001" w:tentative="1">
      <w:start w:val="1"/>
      <w:numFmt w:val="bullet"/>
      <w:lvlText w:val=""/>
      <w:lvlJc w:val="left"/>
      <w:pPr>
        <w:ind w:left="2943" w:hanging="360"/>
      </w:pPr>
      <w:rPr>
        <w:rFonts w:ascii="Symbol" w:hAnsi="Symbol" w:hint="default"/>
      </w:rPr>
    </w:lvl>
    <w:lvl w:ilvl="4" w:tplc="080C0003" w:tentative="1">
      <w:start w:val="1"/>
      <w:numFmt w:val="bullet"/>
      <w:lvlText w:val="o"/>
      <w:lvlJc w:val="left"/>
      <w:pPr>
        <w:ind w:left="3663" w:hanging="360"/>
      </w:pPr>
      <w:rPr>
        <w:rFonts w:ascii="Courier New" w:hAnsi="Courier New" w:cs="Courier New" w:hint="default"/>
      </w:rPr>
    </w:lvl>
    <w:lvl w:ilvl="5" w:tplc="080C0005" w:tentative="1">
      <w:start w:val="1"/>
      <w:numFmt w:val="bullet"/>
      <w:lvlText w:val=""/>
      <w:lvlJc w:val="left"/>
      <w:pPr>
        <w:ind w:left="4383" w:hanging="360"/>
      </w:pPr>
      <w:rPr>
        <w:rFonts w:ascii="Wingdings" w:hAnsi="Wingdings" w:hint="default"/>
      </w:rPr>
    </w:lvl>
    <w:lvl w:ilvl="6" w:tplc="080C0001" w:tentative="1">
      <w:start w:val="1"/>
      <w:numFmt w:val="bullet"/>
      <w:lvlText w:val=""/>
      <w:lvlJc w:val="left"/>
      <w:pPr>
        <w:ind w:left="5103" w:hanging="360"/>
      </w:pPr>
      <w:rPr>
        <w:rFonts w:ascii="Symbol" w:hAnsi="Symbol" w:hint="default"/>
      </w:rPr>
    </w:lvl>
    <w:lvl w:ilvl="7" w:tplc="080C0003" w:tentative="1">
      <w:start w:val="1"/>
      <w:numFmt w:val="bullet"/>
      <w:lvlText w:val="o"/>
      <w:lvlJc w:val="left"/>
      <w:pPr>
        <w:ind w:left="5823" w:hanging="360"/>
      </w:pPr>
      <w:rPr>
        <w:rFonts w:ascii="Courier New" w:hAnsi="Courier New" w:cs="Courier New" w:hint="default"/>
      </w:rPr>
    </w:lvl>
    <w:lvl w:ilvl="8" w:tplc="080C0005" w:tentative="1">
      <w:start w:val="1"/>
      <w:numFmt w:val="bullet"/>
      <w:lvlText w:val=""/>
      <w:lvlJc w:val="left"/>
      <w:pPr>
        <w:ind w:left="6543" w:hanging="360"/>
      </w:pPr>
      <w:rPr>
        <w:rFonts w:ascii="Wingdings" w:hAnsi="Wingdings" w:hint="default"/>
      </w:rPr>
    </w:lvl>
  </w:abstractNum>
  <w:abstractNum w:abstractNumId="37" w15:restartNumberingAfterBreak="0">
    <w:nsid w:val="18E961F6"/>
    <w:multiLevelType w:val="singleLevel"/>
    <w:tmpl w:val="4FA02FCA"/>
    <w:lvl w:ilvl="0">
      <w:start w:val="1"/>
      <w:numFmt w:val="bullet"/>
      <w:lvlText w:val=""/>
      <w:lvlJc w:val="left"/>
      <w:pPr>
        <w:ind w:left="720" w:hanging="360"/>
      </w:pPr>
      <w:rPr>
        <w:rFonts w:ascii="Symbol" w:hAnsi="Symbol" w:hint="default"/>
      </w:rPr>
    </w:lvl>
  </w:abstractNum>
  <w:abstractNum w:abstractNumId="38" w15:restartNumberingAfterBreak="0">
    <w:nsid w:val="19422FAA"/>
    <w:multiLevelType w:val="singleLevel"/>
    <w:tmpl w:val="21646566"/>
    <w:lvl w:ilvl="0">
      <w:start w:val="1"/>
      <w:numFmt w:val="bullet"/>
      <w:lvlText w:val=""/>
      <w:lvlJc w:val="left"/>
      <w:pPr>
        <w:ind w:left="720" w:hanging="360"/>
      </w:pPr>
      <w:rPr>
        <w:rFonts w:ascii="Symbol" w:hAnsi="Symbol" w:hint="default"/>
      </w:rPr>
    </w:lvl>
  </w:abstractNum>
  <w:abstractNum w:abstractNumId="39" w15:restartNumberingAfterBreak="0">
    <w:nsid w:val="1C09324B"/>
    <w:multiLevelType w:val="singleLevel"/>
    <w:tmpl w:val="5234E6BE"/>
    <w:lvl w:ilvl="0">
      <w:start w:val="1"/>
      <w:numFmt w:val="bullet"/>
      <w:lvlText w:val=""/>
      <w:lvlJc w:val="left"/>
      <w:pPr>
        <w:ind w:left="720" w:hanging="360"/>
      </w:pPr>
      <w:rPr>
        <w:rFonts w:ascii="Symbol" w:hAnsi="Symbol" w:hint="default"/>
      </w:rPr>
    </w:lvl>
  </w:abstractNum>
  <w:abstractNum w:abstractNumId="40" w15:restartNumberingAfterBreak="0">
    <w:nsid w:val="1C3A1F4F"/>
    <w:multiLevelType w:val="singleLevel"/>
    <w:tmpl w:val="F40CF894"/>
    <w:lvl w:ilvl="0">
      <w:start w:val="1"/>
      <w:numFmt w:val="bullet"/>
      <w:lvlText w:val=""/>
      <w:lvlJc w:val="left"/>
      <w:pPr>
        <w:ind w:left="720" w:hanging="360"/>
      </w:pPr>
      <w:rPr>
        <w:rFonts w:ascii="Symbol" w:hAnsi="Symbol" w:hint="default"/>
      </w:rPr>
    </w:lvl>
  </w:abstractNum>
  <w:abstractNum w:abstractNumId="41" w15:restartNumberingAfterBreak="0">
    <w:nsid w:val="1CB03FFA"/>
    <w:multiLevelType w:val="singleLevel"/>
    <w:tmpl w:val="4F7C9BBC"/>
    <w:lvl w:ilvl="0">
      <w:start w:val="1"/>
      <w:numFmt w:val="bullet"/>
      <w:lvlText w:val=""/>
      <w:lvlJc w:val="left"/>
      <w:pPr>
        <w:ind w:left="2199" w:hanging="360"/>
      </w:pPr>
      <w:rPr>
        <w:rFonts w:ascii="Symbol" w:hAnsi="Symbol" w:hint="default"/>
      </w:rPr>
    </w:lvl>
  </w:abstractNum>
  <w:abstractNum w:abstractNumId="42" w15:restartNumberingAfterBreak="0">
    <w:nsid w:val="1CE1096B"/>
    <w:multiLevelType w:val="singleLevel"/>
    <w:tmpl w:val="5E00925E"/>
    <w:lvl w:ilvl="0">
      <w:start w:val="1"/>
      <w:numFmt w:val="bullet"/>
      <w:lvlText w:val=""/>
      <w:lvlJc w:val="left"/>
      <w:pPr>
        <w:ind w:left="720" w:hanging="360"/>
      </w:pPr>
      <w:rPr>
        <w:rFonts w:ascii="Symbol" w:hAnsi="Symbol" w:hint="default"/>
      </w:rPr>
    </w:lvl>
  </w:abstractNum>
  <w:abstractNum w:abstractNumId="43" w15:restartNumberingAfterBreak="0">
    <w:nsid w:val="1EAF4D19"/>
    <w:multiLevelType w:val="singleLevel"/>
    <w:tmpl w:val="529CA292"/>
    <w:lvl w:ilvl="0">
      <w:start w:val="1"/>
      <w:numFmt w:val="bullet"/>
      <w:lvlText w:val=""/>
      <w:lvlJc w:val="left"/>
      <w:pPr>
        <w:ind w:left="1080" w:hanging="360"/>
      </w:pPr>
      <w:rPr>
        <w:rFonts w:ascii="Symbol" w:hAnsi="Symbol" w:hint="default"/>
      </w:rPr>
    </w:lvl>
  </w:abstractNum>
  <w:abstractNum w:abstractNumId="44" w15:restartNumberingAfterBreak="0">
    <w:nsid w:val="1F181909"/>
    <w:multiLevelType w:val="singleLevel"/>
    <w:tmpl w:val="95BCE8FC"/>
    <w:lvl w:ilvl="0">
      <w:start w:val="1"/>
      <w:numFmt w:val="bullet"/>
      <w:lvlText w:val=""/>
      <w:lvlJc w:val="left"/>
      <w:pPr>
        <w:ind w:left="720" w:hanging="360"/>
      </w:pPr>
      <w:rPr>
        <w:rFonts w:ascii="Symbol" w:hAnsi="Symbol" w:hint="default"/>
      </w:rPr>
    </w:lvl>
  </w:abstractNum>
  <w:abstractNum w:abstractNumId="45" w15:restartNumberingAfterBreak="0">
    <w:nsid w:val="1F954DA4"/>
    <w:multiLevelType w:val="singleLevel"/>
    <w:tmpl w:val="CABAE97A"/>
    <w:lvl w:ilvl="0">
      <w:start w:val="1"/>
      <w:numFmt w:val="bullet"/>
      <w:lvlText w:val=""/>
      <w:lvlJc w:val="left"/>
      <w:pPr>
        <w:ind w:left="720" w:hanging="360"/>
      </w:pPr>
      <w:rPr>
        <w:rFonts w:ascii="Symbol" w:hAnsi="Symbol" w:hint="default"/>
      </w:rPr>
    </w:lvl>
  </w:abstractNum>
  <w:abstractNum w:abstractNumId="46" w15:restartNumberingAfterBreak="0">
    <w:nsid w:val="20B15D36"/>
    <w:multiLevelType w:val="singleLevel"/>
    <w:tmpl w:val="23E21DBC"/>
    <w:lvl w:ilvl="0">
      <w:start w:val="1"/>
      <w:numFmt w:val="bullet"/>
      <w:lvlText w:val=""/>
      <w:lvlJc w:val="left"/>
      <w:pPr>
        <w:ind w:left="770" w:hanging="360"/>
      </w:pPr>
      <w:rPr>
        <w:rFonts w:ascii="Symbol" w:hAnsi="Symbol" w:hint="default"/>
      </w:rPr>
    </w:lvl>
  </w:abstractNum>
  <w:abstractNum w:abstractNumId="47" w15:restartNumberingAfterBreak="0">
    <w:nsid w:val="21224BA6"/>
    <w:multiLevelType w:val="singleLevel"/>
    <w:tmpl w:val="77C2CDCA"/>
    <w:lvl w:ilvl="0">
      <w:start w:val="1"/>
      <w:numFmt w:val="bullet"/>
      <w:lvlText w:val=""/>
      <w:lvlJc w:val="left"/>
      <w:pPr>
        <w:ind w:left="720" w:hanging="360"/>
      </w:pPr>
      <w:rPr>
        <w:rFonts w:ascii="Symbol" w:hAnsi="Symbol" w:hint="default"/>
      </w:rPr>
    </w:lvl>
  </w:abstractNum>
  <w:abstractNum w:abstractNumId="48" w15:restartNumberingAfterBreak="0">
    <w:nsid w:val="212D79F7"/>
    <w:multiLevelType w:val="singleLevel"/>
    <w:tmpl w:val="9CC81E6C"/>
    <w:lvl w:ilvl="0">
      <w:start w:val="1"/>
      <w:numFmt w:val="bullet"/>
      <w:lvlText w:val=""/>
      <w:lvlJc w:val="left"/>
      <w:pPr>
        <w:ind w:left="720" w:hanging="360"/>
      </w:pPr>
      <w:rPr>
        <w:rFonts w:ascii="Symbol" w:hAnsi="Symbol" w:hint="default"/>
      </w:rPr>
    </w:lvl>
  </w:abstractNum>
  <w:abstractNum w:abstractNumId="49" w15:restartNumberingAfterBreak="0">
    <w:nsid w:val="22C179E5"/>
    <w:multiLevelType w:val="singleLevel"/>
    <w:tmpl w:val="529CA292"/>
    <w:lvl w:ilvl="0">
      <w:start w:val="1"/>
      <w:numFmt w:val="bullet"/>
      <w:lvlText w:val=""/>
      <w:lvlJc w:val="left"/>
      <w:pPr>
        <w:ind w:left="1080" w:hanging="360"/>
      </w:pPr>
      <w:rPr>
        <w:rFonts w:ascii="Symbol" w:hAnsi="Symbol" w:hint="default"/>
      </w:rPr>
    </w:lvl>
  </w:abstractNum>
  <w:abstractNum w:abstractNumId="50" w15:restartNumberingAfterBreak="0">
    <w:nsid w:val="24923E8E"/>
    <w:multiLevelType w:val="hybridMultilevel"/>
    <w:tmpl w:val="147E9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24B0356A"/>
    <w:multiLevelType w:val="singleLevel"/>
    <w:tmpl w:val="F55A07DC"/>
    <w:lvl w:ilvl="0">
      <w:start w:val="1"/>
      <w:numFmt w:val="bullet"/>
      <w:lvlText w:val=""/>
      <w:lvlJc w:val="left"/>
      <w:pPr>
        <w:ind w:left="720" w:hanging="360"/>
      </w:pPr>
      <w:rPr>
        <w:rFonts w:ascii="Symbol" w:hAnsi="Symbol" w:hint="default"/>
      </w:rPr>
    </w:lvl>
  </w:abstractNum>
  <w:abstractNum w:abstractNumId="52" w15:restartNumberingAfterBreak="0">
    <w:nsid w:val="24F502B6"/>
    <w:multiLevelType w:val="singleLevel"/>
    <w:tmpl w:val="AE14D300"/>
    <w:lvl w:ilvl="0">
      <w:start w:val="1"/>
      <w:numFmt w:val="bullet"/>
      <w:lvlText w:val=""/>
      <w:lvlJc w:val="left"/>
      <w:pPr>
        <w:ind w:left="720" w:hanging="360"/>
      </w:pPr>
      <w:rPr>
        <w:rFonts w:ascii="Symbol" w:hAnsi="Symbol" w:hint="default"/>
      </w:rPr>
    </w:lvl>
  </w:abstractNum>
  <w:abstractNum w:abstractNumId="53" w15:restartNumberingAfterBreak="0">
    <w:nsid w:val="2543476F"/>
    <w:multiLevelType w:val="hybridMultilevel"/>
    <w:tmpl w:val="F60492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255C7ABB"/>
    <w:multiLevelType w:val="singleLevel"/>
    <w:tmpl w:val="C086728C"/>
    <w:lvl w:ilvl="0">
      <w:start w:val="1"/>
      <w:numFmt w:val="bullet"/>
      <w:lvlText w:val=""/>
      <w:lvlJc w:val="left"/>
      <w:pPr>
        <w:ind w:left="786" w:hanging="360"/>
      </w:pPr>
      <w:rPr>
        <w:rFonts w:ascii="Symbol" w:hAnsi="Symbol" w:hint="default"/>
      </w:rPr>
    </w:lvl>
  </w:abstractNum>
  <w:abstractNum w:abstractNumId="55" w15:restartNumberingAfterBreak="0">
    <w:nsid w:val="269265C7"/>
    <w:multiLevelType w:val="singleLevel"/>
    <w:tmpl w:val="A182A3B8"/>
    <w:lvl w:ilvl="0">
      <w:start w:val="1"/>
      <w:numFmt w:val="bullet"/>
      <w:lvlText w:val=""/>
      <w:lvlJc w:val="left"/>
      <w:pPr>
        <w:ind w:left="720" w:hanging="360"/>
      </w:pPr>
      <w:rPr>
        <w:rFonts w:ascii="Symbol" w:hAnsi="Symbol" w:hint="default"/>
      </w:rPr>
    </w:lvl>
  </w:abstractNum>
  <w:abstractNum w:abstractNumId="56" w15:restartNumberingAfterBreak="0">
    <w:nsid w:val="271B6750"/>
    <w:multiLevelType w:val="singleLevel"/>
    <w:tmpl w:val="529CA292"/>
    <w:lvl w:ilvl="0">
      <w:start w:val="1"/>
      <w:numFmt w:val="bullet"/>
      <w:lvlText w:val=""/>
      <w:lvlJc w:val="left"/>
      <w:pPr>
        <w:ind w:left="1080" w:hanging="360"/>
      </w:pPr>
      <w:rPr>
        <w:rFonts w:ascii="Symbol" w:hAnsi="Symbol" w:hint="default"/>
      </w:rPr>
    </w:lvl>
  </w:abstractNum>
  <w:abstractNum w:abstractNumId="57" w15:restartNumberingAfterBreak="0">
    <w:nsid w:val="284D535C"/>
    <w:multiLevelType w:val="hybridMultilevel"/>
    <w:tmpl w:val="5234E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29A01F7D"/>
    <w:multiLevelType w:val="singleLevel"/>
    <w:tmpl w:val="5E00925E"/>
    <w:lvl w:ilvl="0">
      <w:start w:val="1"/>
      <w:numFmt w:val="bullet"/>
      <w:lvlText w:val=""/>
      <w:lvlJc w:val="left"/>
      <w:pPr>
        <w:ind w:left="720" w:hanging="360"/>
      </w:pPr>
      <w:rPr>
        <w:rFonts w:ascii="Symbol" w:hAnsi="Symbol" w:hint="default"/>
      </w:rPr>
    </w:lvl>
  </w:abstractNum>
  <w:abstractNum w:abstractNumId="59" w15:restartNumberingAfterBreak="0">
    <w:nsid w:val="2A343D16"/>
    <w:multiLevelType w:val="hybridMultilevel"/>
    <w:tmpl w:val="676C2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2ADB4363"/>
    <w:multiLevelType w:val="singleLevel"/>
    <w:tmpl w:val="0A2EE708"/>
    <w:lvl w:ilvl="0">
      <w:start w:val="1"/>
      <w:numFmt w:val="bullet"/>
      <w:lvlText w:val=""/>
      <w:lvlJc w:val="left"/>
      <w:pPr>
        <w:ind w:left="360" w:hanging="360"/>
      </w:pPr>
      <w:rPr>
        <w:rFonts w:ascii="Symbol" w:hAnsi="Symbol" w:hint="default"/>
      </w:rPr>
    </w:lvl>
  </w:abstractNum>
  <w:abstractNum w:abstractNumId="61" w15:restartNumberingAfterBreak="0">
    <w:nsid w:val="2B31320E"/>
    <w:multiLevelType w:val="hybridMultilevel"/>
    <w:tmpl w:val="E9F2AD52"/>
    <w:lvl w:ilvl="0" w:tplc="080C0001">
      <w:start w:val="1"/>
      <w:numFmt w:val="bullet"/>
      <w:lvlText w:val=""/>
      <w:lvlJc w:val="left"/>
      <w:pPr>
        <w:ind w:left="1434" w:hanging="360"/>
      </w:pPr>
      <w:rPr>
        <w:rFonts w:ascii="Symbol" w:hAnsi="Symbol"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abstractNum w:abstractNumId="62" w15:restartNumberingAfterBreak="0">
    <w:nsid w:val="2B6F034A"/>
    <w:multiLevelType w:val="singleLevel"/>
    <w:tmpl w:val="21646566"/>
    <w:lvl w:ilvl="0">
      <w:start w:val="1"/>
      <w:numFmt w:val="bullet"/>
      <w:lvlText w:val=""/>
      <w:lvlJc w:val="left"/>
      <w:pPr>
        <w:ind w:left="720" w:hanging="360"/>
      </w:pPr>
      <w:rPr>
        <w:rFonts w:ascii="Symbol" w:hAnsi="Symbol" w:hint="default"/>
      </w:rPr>
    </w:lvl>
  </w:abstractNum>
  <w:abstractNum w:abstractNumId="63" w15:restartNumberingAfterBreak="0">
    <w:nsid w:val="2B7850EC"/>
    <w:multiLevelType w:val="singleLevel"/>
    <w:tmpl w:val="F8C4FED2"/>
    <w:lvl w:ilvl="0">
      <w:start w:val="1"/>
      <w:numFmt w:val="bullet"/>
      <w:lvlText w:val=""/>
      <w:lvlJc w:val="left"/>
      <w:pPr>
        <w:ind w:left="720" w:hanging="360"/>
      </w:pPr>
      <w:rPr>
        <w:rFonts w:ascii="Symbol" w:hAnsi="Symbol" w:hint="default"/>
      </w:rPr>
    </w:lvl>
  </w:abstractNum>
  <w:abstractNum w:abstractNumId="64" w15:restartNumberingAfterBreak="0">
    <w:nsid w:val="2B9E7ABF"/>
    <w:multiLevelType w:val="singleLevel"/>
    <w:tmpl w:val="5E00925E"/>
    <w:lvl w:ilvl="0">
      <w:start w:val="1"/>
      <w:numFmt w:val="bullet"/>
      <w:lvlText w:val=""/>
      <w:lvlJc w:val="left"/>
      <w:pPr>
        <w:ind w:left="720" w:hanging="360"/>
      </w:pPr>
      <w:rPr>
        <w:rFonts w:ascii="Symbol" w:hAnsi="Symbol" w:hint="default"/>
      </w:rPr>
    </w:lvl>
  </w:abstractNum>
  <w:abstractNum w:abstractNumId="65" w15:restartNumberingAfterBreak="0">
    <w:nsid w:val="2BE10B5A"/>
    <w:multiLevelType w:val="hybridMultilevel"/>
    <w:tmpl w:val="F55A0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CEB7658"/>
    <w:multiLevelType w:val="singleLevel"/>
    <w:tmpl w:val="5E00925E"/>
    <w:lvl w:ilvl="0">
      <w:start w:val="1"/>
      <w:numFmt w:val="bullet"/>
      <w:lvlText w:val=""/>
      <w:lvlJc w:val="left"/>
      <w:pPr>
        <w:ind w:left="720" w:hanging="360"/>
      </w:pPr>
      <w:rPr>
        <w:rFonts w:ascii="Symbol" w:hAnsi="Symbol" w:hint="default"/>
      </w:rPr>
    </w:lvl>
  </w:abstractNum>
  <w:abstractNum w:abstractNumId="67" w15:restartNumberingAfterBreak="0">
    <w:nsid w:val="2D93169A"/>
    <w:multiLevelType w:val="hybridMultilevel"/>
    <w:tmpl w:val="7DEC40E4"/>
    <w:lvl w:ilvl="0" w:tplc="080C0001">
      <w:start w:val="1"/>
      <w:numFmt w:val="bullet"/>
      <w:lvlText w:val=""/>
      <w:lvlJc w:val="left"/>
      <w:pPr>
        <w:ind w:left="1146" w:hanging="360"/>
      </w:pPr>
      <w:rPr>
        <w:rFonts w:ascii="Symbol" w:hAnsi="Symbol" w:hint="default"/>
      </w:rPr>
    </w:lvl>
    <w:lvl w:ilvl="1" w:tplc="080C0003">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68" w15:restartNumberingAfterBreak="0">
    <w:nsid w:val="2D957938"/>
    <w:multiLevelType w:val="singleLevel"/>
    <w:tmpl w:val="F55A07DC"/>
    <w:lvl w:ilvl="0">
      <w:start w:val="1"/>
      <w:numFmt w:val="bullet"/>
      <w:lvlText w:val=""/>
      <w:lvlJc w:val="left"/>
      <w:pPr>
        <w:ind w:left="720" w:hanging="360"/>
      </w:pPr>
      <w:rPr>
        <w:rFonts w:ascii="Symbol" w:hAnsi="Symbol" w:hint="default"/>
      </w:rPr>
    </w:lvl>
  </w:abstractNum>
  <w:abstractNum w:abstractNumId="69" w15:restartNumberingAfterBreak="0">
    <w:nsid w:val="2DE01614"/>
    <w:multiLevelType w:val="singleLevel"/>
    <w:tmpl w:val="23E21DBC"/>
    <w:lvl w:ilvl="0">
      <w:start w:val="1"/>
      <w:numFmt w:val="bullet"/>
      <w:lvlText w:val=""/>
      <w:lvlJc w:val="left"/>
      <w:pPr>
        <w:ind w:left="770" w:hanging="360"/>
      </w:pPr>
      <w:rPr>
        <w:rFonts w:ascii="Symbol" w:hAnsi="Symbol" w:hint="default"/>
      </w:rPr>
    </w:lvl>
  </w:abstractNum>
  <w:abstractNum w:abstractNumId="70" w15:restartNumberingAfterBreak="0">
    <w:nsid w:val="2DE4421A"/>
    <w:multiLevelType w:val="singleLevel"/>
    <w:tmpl w:val="F60492F0"/>
    <w:lvl w:ilvl="0">
      <w:start w:val="1"/>
      <w:numFmt w:val="bullet"/>
      <w:lvlText w:val=""/>
      <w:lvlJc w:val="left"/>
      <w:pPr>
        <w:ind w:left="720" w:hanging="360"/>
      </w:pPr>
      <w:rPr>
        <w:rFonts w:ascii="Symbol" w:hAnsi="Symbol" w:hint="default"/>
      </w:rPr>
    </w:lvl>
  </w:abstractNum>
  <w:abstractNum w:abstractNumId="71" w15:restartNumberingAfterBreak="0">
    <w:nsid w:val="2EB642A8"/>
    <w:multiLevelType w:val="singleLevel"/>
    <w:tmpl w:val="F55A07DC"/>
    <w:lvl w:ilvl="0">
      <w:start w:val="1"/>
      <w:numFmt w:val="bullet"/>
      <w:lvlText w:val=""/>
      <w:lvlJc w:val="left"/>
      <w:pPr>
        <w:ind w:left="720" w:hanging="360"/>
      </w:pPr>
      <w:rPr>
        <w:rFonts w:ascii="Symbol" w:hAnsi="Symbol" w:hint="default"/>
      </w:rPr>
    </w:lvl>
  </w:abstractNum>
  <w:abstractNum w:abstractNumId="72" w15:restartNumberingAfterBreak="0">
    <w:nsid w:val="2F367800"/>
    <w:multiLevelType w:val="hybridMultilevel"/>
    <w:tmpl w:val="DBA866A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15:restartNumberingAfterBreak="0">
    <w:nsid w:val="2F712DE7"/>
    <w:multiLevelType w:val="singleLevel"/>
    <w:tmpl w:val="C086728C"/>
    <w:lvl w:ilvl="0">
      <w:start w:val="1"/>
      <w:numFmt w:val="bullet"/>
      <w:lvlText w:val=""/>
      <w:lvlJc w:val="left"/>
      <w:pPr>
        <w:ind w:left="786" w:hanging="360"/>
      </w:pPr>
      <w:rPr>
        <w:rFonts w:ascii="Symbol" w:hAnsi="Symbol" w:hint="default"/>
      </w:rPr>
    </w:lvl>
  </w:abstractNum>
  <w:abstractNum w:abstractNumId="74" w15:restartNumberingAfterBreak="0">
    <w:nsid w:val="2F905196"/>
    <w:multiLevelType w:val="singleLevel"/>
    <w:tmpl w:val="F55A07DC"/>
    <w:lvl w:ilvl="0">
      <w:start w:val="1"/>
      <w:numFmt w:val="bullet"/>
      <w:lvlText w:val=""/>
      <w:lvlJc w:val="left"/>
      <w:pPr>
        <w:ind w:left="720" w:hanging="360"/>
      </w:pPr>
      <w:rPr>
        <w:rFonts w:ascii="Symbol" w:hAnsi="Symbol" w:hint="default"/>
      </w:rPr>
    </w:lvl>
  </w:abstractNum>
  <w:abstractNum w:abstractNumId="75" w15:restartNumberingAfterBreak="0">
    <w:nsid w:val="2F911422"/>
    <w:multiLevelType w:val="singleLevel"/>
    <w:tmpl w:val="0A2EE708"/>
    <w:lvl w:ilvl="0">
      <w:start w:val="1"/>
      <w:numFmt w:val="bullet"/>
      <w:lvlText w:val=""/>
      <w:lvlJc w:val="left"/>
      <w:pPr>
        <w:ind w:left="360" w:hanging="360"/>
      </w:pPr>
      <w:rPr>
        <w:rFonts w:ascii="Symbol" w:hAnsi="Symbol" w:hint="default"/>
      </w:rPr>
    </w:lvl>
  </w:abstractNum>
  <w:abstractNum w:abstractNumId="76" w15:restartNumberingAfterBreak="0">
    <w:nsid w:val="30160828"/>
    <w:multiLevelType w:val="singleLevel"/>
    <w:tmpl w:val="3E328A9E"/>
    <w:lvl w:ilvl="0">
      <w:start w:val="1"/>
      <w:numFmt w:val="bullet"/>
      <w:lvlText w:val=""/>
      <w:lvlJc w:val="left"/>
      <w:pPr>
        <w:ind w:left="360" w:hanging="360"/>
      </w:pPr>
      <w:rPr>
        <w:rFonts w:ascii="Symbol" w:hAnsi="Symbol" w:hint="default"/>
      </w:rPr>
    </w:lvl>
  </w:abstractNum>
  <w:abstractNum w:abstractNumId="77" w15:restartNumberingAfterBreak="0">
    <w:nsid w:val="31CF039E"/>
    <w:multiLevelType w:val="hybridMultilevel"/>
    <w:tmpl w:val="9CC81E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15:restartNumberingAfterBreak="0">
    <w:nsid w:val="31D4594B"/>
    <w:multiLevelType w:val="singleLevel"/>
    <w:tmpl w:val="4F7C9BBC"/>
    <w:lvl w:ilvl="0">
      <w:start w:val="1"/>
      <w:numFmt w:val="bullet"/>
      <w:lvlText w:val=""/>
      <w:lvlJc w:val="left"/>
      <w:pPr>
        <w:ind w:left="2199" w:hanging="360"/>
      </w:pPr>
      <w:rPr>
        <w:rFonts w:ascii="Symbol" w:hAnsi="Symbol" w:hint="default"/>
      </w:rPr>
    </w:lvl>
  </w:abstractNum>
  <w:abstractNum w:abstractNumId="79" w15:restartNumberingAfterBreak="0">
    <w:nsid w:val="32A10803"/>
    <w:multiLevelType w:val="singleLevel"/>
    <w:tmpl w:val="3878A8A0"/>
    <w:lvl w:ilvl="0">
      <w:start w:val="1"/>
      <w:numFmt w:val="bullet"/>
      <w:lvlText w:val=""/>
      <w:lvlJc w:val="left"/>
      <w:pPr>
        <w:ind w:left="720" w:hanging="360"/>
      </w:pPr>
      <w:rPr>
        <w:rFonts w:ascii="Symbol" w:hAnsi="Symbol" w:hint="default"/>
      </w:rPr>
    </w:lvl>
  </w:abstractNum>
  <w:abstractNum w:abstractNumId="80" w15:restartNumberingAfterBreak="0">
    <w:nsid w:val="32B62007"/>
    <w:multiLevelType w:val="singleLevel"/>
    <w:tmpl w:val="A182A3B8"/>
    <w:lvl w:ilvl="0">
      <w:start w:val="1"/>
      <w:numFmt w:val="bullet"/>
      <w:lvlText w:val=""/>
      <w:lvlJc w:val="left"/>
      <w:pPr>
        <w:ind w:left="720" w:hanging="360"/>
      </w:pPr>
      <w:rPr>
        <w:rFonts w:ascii="Symbol" w:hAnsi="Symbol" w:hint="default"/>
      </w:rPr>
    </w:lvl>
  </w:abstractNum>
  <w:abstractNum w:abstractNumId="81" w15:restartNumberingAfterBreak="0">
    <w:nsid w:val="32B763F0"/>
    <w:multiLevelType w:val="singleLevel"/>
    <w:tmpl w:val="F60492F0"/>
    <w:lvl w:ilvl="0">
      <w:start w:val="1"/>
      <w:numFmt w:val="bullet"/>
      <w:lvlText w:val=""/>
      <w:lvlJc w:val="left"/>
      <w:pPr>
        <w:ind w:left="720" w:hanging="360"/>
      </w:pPr>
      <w:rPr>
        <w:rFonts w:ascii="Symbol" w:hAnsi="Symbol" w:hint="default"/>
      </w:rPr>
    </w:lvl>
  </w:abstractNum>
  <w:abstractNum w:abstractNumId="82" w15:restartNumberingAfterBreak="0">
    <w:nsid w:val="33016384"/>
    <w:multiLevelType w:val="singleLevel"/>
    <w:tmpl w:val="4A1ECE02"/>
    <w:lvl w:ilvl="0">
      <w:start w:val="1"/>
      <w:numFmt w:val="bullet"/>
      <w:lvlText w:val=""/>
      <w:lvlJc w:val="left"/>
      <w:pPr>
        <w:ind w:left="720" w:hanging="360"/>
      </w:pPr>
      <w:rPr>
        <w:rFonts w:ascii="Symbol" w:hAnsi="Symbol" w:hint="default"/>
      </w:rPr>
    </w:lvl>
  </w:abstractNum>
  <w:abstractNum w:abstractNumId="83" w15:restartNumberingAfterBreak="0">
    <w:nsid w:val="335615D0"/>
    <w:multiLevelType w:val="hybridMultilevel"/>
    <w:tmpl w:val="0A2EE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33A15FB1"/>
    <w:multiLevelType w:val="hybridMultilevel"/>
    <w:tmpl w:val="C3342E9C"/>
    <w:lvl w:ilvl="0" w:tplc="080C0001">
      <w:start w:val="1"/>
      <w:numFmt w:val="bullet"/>
      <w:lvlText w:val=""/>
      <w:lvlJc w:val="left"/>
      <w:pPr>
        <w:ind w:left="798" w:hanging="360"/>
      </w:pPr>
      <w:rPr>
        <w:rFonts w:ascii="Symbol" w:hAnsi="Symbol" w:hint="default"/>
      </w:rPr>
    </w:lvl>
    <w:lvl w:ilvl="1" w:tplc="04090001">
      <w:start w:val="1"/>
      <w:numFmt w:val="bullet"/>
      <w:lvlText w:val=""/>
      <w:lvlJc w:val="left"/>
      <w:pPr>
        <w:ind w:left="1479" w:hanging="360"/>
      </w:pPr>
      <w:rPr>
        <w:rFonts w:ascii="Symbol" w:hAnsi="Symbol"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85" w15:restartNumberingAfterBreak="0">
    <w:nsid w:val="33CB3F0E"/>
    <w:multiLevelType w:val="hybridMultilevel"/>
    <w:tmpl w:val="6A6AD0FE"/>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86" w15:restartNumberingAfterBreak="0">
    <w:nsid w:val="34931CF3"/>
    <w:multiLevelType w:val="singleLevel"/>
    <w:tmpl w:val="4F7C9BBC"/>
    <w:lvl w:ilvl="0">
      <w:start w:val="1"/>
      <w:numFmt w:val="bullet"/>
      <w:lvlText w:val=""/>
      <w:lvlJc w:val="left"/>
      <w:pPr>
        <w:ind w:left="2199" w:hanging="360"/>
      </w:pPr>
      <w:rPr>
        <w:rFonts w:ascii="Symbol" w:hAnsi="Symbol" w:hint="default"/>
      </w:rPr>
    </w:lvl>
  </w:abstractNum>
  <w:abstractNum w:abstractNumId="87" w15:restartNumberingAfterBreak="0">
    <w:nsid w:val="3845698E"/>
    <w:multiLevelType w:val="hybridMultilevel"/>
    <w:tmpl w:val="4000AD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15:restartNumberingAfterBreak="0">
    <w:nsid w:val="38803B06"/>
    <w:multiLevelType w:val="singleLevel"/>
    <w:tmpl w:val="6C6A87AC"/>
    <w:lvl w:ilvl="0">
      <w:start w:val="1"/>
      <w:numFmt w:val="bullet"/>
      <w:lvlText w:val=""/>
      <w:lvlJc w:val="left"/>
      <w:pPr>
        <w:ind w:left="1080" w:hanging="360"/>
      </w:pPr>
      <w:rPr>
        <w:rFonts w:ascii="Symbol" w:hAnsi="Symbol" w:hint="default"/>
      </w:rPr>
    </w:lvl>
  </w:abstractNum>
  <w:abstractNum w:abstractNumId="89" w15:restartNumberingAfterBreak="0">
    <w:nsid w:val="39757C12"/>
    <w:multiLevelType w:val="singleLevel"/>
    <w:tmpl w:val="F60492F0"/>
    <w:lvl w:ilvl="0">
      <w:start w:val="1"/>
      <w:numFmt w:val="bullet"/>
      <w:lvlText w:val=""/>
      <w:lvlJc w:val="left"/>
      <w:pPr>
        <w:ind w:left="720" w:hanging="360"/>
      </w:pPr>
      <w:rPr>
        <w:rFonts w:ascii="Symbol" w:hAnsi="Symbol" w:hint="default"/>
      </w:rPr>
    </w:lvl>
  </w:abstractNum>
  <w:abstractNum w:abstractNumId="90" w15:restartNumberingAfterBreak="0">
    <w:nsid w:val="39F6620D"/>
    <w:multiLevelType w:val="singleLevel"/>
    <w:tmpl w:val="77C2CDCA"/>
    <w:lvl w:ilvl="0">
      <w:start w:val="1"/>
      <w:numFmt w:val="bullet"/>
      <w:lvlText w:val=""/>
      <w:lvlJc w:val="left"/>
      <w:pPr>
        <w:ind w:left="720" w:hanging="360"/>
      </w:pPr>
      <w:rPr>
        <w:rFonts w:ascii="Symbol" w:hAnsi="Symbol" w:hint="default"/>
      </w:rPr>
    </w:lvl>
  </w:abstractNum>
  <w:abstractNum w:abstractNumId="91" w15:restartNumberingAfterBreak="0">
    <w:nsid w:val="3A050835"/>
    <w:multiLevelType w:val="singleLevel"/>
    <w:tmpl w:val="9CC81E6C"/>
    <w:lvl w:ilvl="0">
      <w:start w:val="1"/>
      <w:numFmt w:val="bullet"/>
      <w:lvlText w:val=""/>
      <w:lvlJc w:val="left"/>
      <w:pPr>
        <w:ind w:left="720" w:hanging="360"/>
      </w:pPr>
      <w:rPr>
        <w:rFonts w:ascii="Symbol" w:hAnsi="Symbol" w:hint="default"/>
      </w:rPr>
    </w:lvl>
  </w:abstractNum>
  <w:abstractNum w:abstractNumId="92" w15:restartNumberingAfterBreak="0">
    <w:nsid w:val="3AF91786"/>
    <w:multiLevelType w:val="singleLevel"/>
    <w:tmpl w:val="9D9862BA"/>
    <w:lvl w:ilvl="0">
      <w:start w:val="1"/>
      <w:numFmt w:val="bullet"/>
      <w:lvlText w:val=""/>
      <w:lvlJc w:val="left"/>
      <w:pPr>
        <w:ind w:left="360" w:hanging="360"/>
      </w:pPr>
      <w:rPr>
        <w:rFonts w:ascii="Symbol" w:hAnsi="Symbol" w:hint="default"/>
      </w:rPr>
    </w:lvl>
  </w:abstractNum>
  <w:abstractNum w:abstractNumId="93" w15:restartNumberingAfterBreak="0">
    <w:nsid w:val="3B560668"/>
    <w:multiLevelType w:val="singleLevel"/>
    <w:tmpl w:val="0A2EE708"/>
    <w:lvl w:ilvl="0">
      <w:start w:val="1"/>
      <w:numFmt w:val="bullet"/>
      <w:lvlText w:val=""/>
      <w:lvlJc w:val="left"/>
      <w:pPr>
        <w:ind w:left="360" w:hanging="360"/>
      </w:pPr>
      <w:rPr>
        <w:rFonts w:ascii="Symbol" w:hAnsi="Symbol" w:hint="default"/>
      </w:rPr>
    </w:lvl>
  </w:abstractNum>
  <w:abstractNum w:abstractNumId="94" w15:restartNumberingAfterBreak="0">
    <w:nsid w:val="3CF836B2"/>
    <w:multiLevelType w:val="singleLevel"/>
    <w:tmpl w:val="7DEC40E4"/>
    <w:lvl w:ilvl="0">
      <w:start w:val="1"/>
      <w:numFmt w:val="bullet"/>
      <w:lvlText w:val=""/>
      <w:lvlJc w:val="left"/>
      <w:pPr>
        <w:ind w:left="1146" w:hanging="360"/>
      </w:pPr>
      <w:rPr>
        <w:rFonts w:ascii="Symbol" w:hAnsi="Symbol" w:hint="default"/>
      </w:rPr>
    </w:lvl>
  </w:abstractNum>
  <w:abstractNum w:abstractNumId="95" w15:restartNumberingAfterBreak="0">
    <w:nsid w:val="3E980EF4"/>
    <w:multiLevelType w:val="singleLevel"/>
    <w:tmpl w:val="6C6A87AC"/>
    <w:lvl w:ilvl="0">
      <w:start w:val="1"/>
      <w:numFmt w:val="bullet"/>
      <w:lvlText w:val=""/>
      <w:lvlJc w:val="left"/>
      <w:pPr>
        <w:ind w:left="1080" w:hanging="360"/>
      </w:pPr>
      <w:rPr>
        <w:rFonts w:ascii="Symbol" w:hAnsi="Symbol" w:hint="default"/>
      </w:rPr>
    </w:lvl>
  </w:abstractNum>
  <w:abstractNum w:abstractNumId="96" w15:restartNumberingAfterBreak="0">
    <w:nsid w:val="3EA92016"/>
    <w:multiLevelType w:val="hybridMultilevel"/>
    <w:tmpl w:val="5FB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FCE71E7"/>
    <w:multiLevelType w:val="singleLevel"/>
    <w:tmpl w:val="8286C518"/>
    <w:lvl w:ilvl="0">
      <w:start w:val="1"/>
      <w:numFmt w:val="bullet"/>
      <w:lvlText w:val=""/>
      <w:lvlJc w:val="left"/>
      <w:pPr>
        <w:ind w:left="720" w:hanging="360"/>
      </w:pPr>
      <w:rPr>
        <w:rFonts w:ascii="Symbol" w:hAnsi="Symbol" w:hint="default"/>
      </w:rPr>
    </w:lvl>
  </w:abstractNum>
  <w:abstractNum w:abstractNumId="98" w15:restartNumberingAfterBreak="0">
    <w:nsid w:val="400D7C6C"/>
    <w:multiLevelType w:val="hybridMultilevel"/>
    <w:tmpl w:val="F8C4FE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15:restartNumberingAfterBreak="0">
    <w:nsid w:val="404C66B0"/>
    <w:multiLevelType w:val="hybridMultilevel"/>
    <w:tmpl w:val="0966E606"/>
    <w:lvl w:ilvl="0" w:tplc="080C0001">
      <w:start w:val="1"/>
      <w:numFmt w:val="bullet"/>
      <w:lvlText w:val=""/>
      <w:lvlJc w:val="left"/>
      <w:pPr>
        <w:ind w:left="798" w:hanging="360"/>
      </w:pPr>
      <w:rPr>
        <w:rFonts w:ascii="Symbol" w:hAnsi="Symbol" w:hint="default"/>
      </w:rPr>
    </w:lvl>
    <w:lvl w:ilvl="1" w:tplc="39A4DA98">
      <w:numFmt w:val="bullet"/>
      <w:lvlText w:val="-"/>
      <w:lvlJc w:val="left"/>
      <w:pPr>
        <w:ind w:left="1479" w:hanging="360"/>
      </w:pPr>
      <w:rPr>
        <w:rFonts w:ascii="Times New Roman" w:eastAsia="Times New Roman" w:hAnsi="Times New Roman" w:cs="Times New Roman"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00" w15:restartNumberingAfterBreak="0">
    <w:nsid w:val="40AB0ECC"/>
    <w:multiLevelType w:val="singleLevel"/>
    <w:tmpl w:val="DBA4CFB0"/>
    <w:lvl w:ilvl="0">
      <w:start w:val="1"/>
      <w:numFmt w:val="bullet"/>
      <w:lvlText w:val=""/>
      <w:lvlJc w:val="left"/>
      <w:pPr>
        <w:ind w:left="720" w:hanging="360"/>
      </w:pPr>
      <w:rPr>
        <w:rFonts w:ascii="Symbol" w:hAnsi="Symbol" w:hint="default"/>
      </w:rPr>
    </w:lvl>
  </w:abstractNum>
  <w:abstractNum w:abstractNumId="101" w15:restartNumberingAfterBreak="0">
    <w:nsid w:val="40D72C68"/>
    <w:multiLevelType w:val="singleLevel"/>
    <w:tmpl w:val="7DEC40E4"/>
    <w:lvl w:ilvl="0">
      <w:start w:val="1"/>
      <w:numFmt w:val="bullet"/>
      <w:lvlText w:val=""/>
      <w:lvlJc w:val="left"/>
      <w:pPr>
        <w:ind w:left="1146" w:hanging="360"/>
      </w:pPr>
      <w:rPr>
        <w:rFonts w:ascii="Symbol" w:hAnsi="Symbol" w:hint="default"/>
      </w:rPr>
    </w:lvl>
  </w:abstractNum>
  <w:abstractNum w:abstractNumId="102" w15:restartNumberingAfterBreak="0">
    <w:nsid w:val="418F49E7"/>
    <w:multiLevelType w:val="singleLevel"/>
    <w:tmpl w:val="9CC81E6C"/>
    <w:lvl w:ilvl="0">
      <w:start w:val="1"/>
      <w:numFmt w:val="bullet"/>
      <w:lvlText w:val=""/>
      <w:lvlJc w:val="left"/>
      <w:pPr>
        <w:ind w:left="720" w:hanging="360"/>
      </w:pPr>
      <w:rPr>
        <w:rFonts w:ascii="Symbol" w:hAnsi="Symbol" w:hint="default"/>
      </w:rPr>
    </w:lvl>
  </w:abstractNum>
  <w:abstractNum w:abstractNumId="103" w15:restartNumberingAfterBreak="0">
    <w:nsid w:val="421135D4"/>
    <w:multiLevelType w:val="singleLevel"/>
    <w:tmpl w:val="F40CF894"/>
    <w:lvl w:ilvl="0">
      <w:start w:val="1"/>
      <w:numFmt w:val="bullet"/>
      <w:lvlText w:val=""/>
      <w:lvlJc w:val="left"/>
      <w:pPr>
        <w:ind w:left="720" w:hanging="360"/>
      </w:pPr>
      <w:rPr>
        <w:rFonts w:ascii="Symbol" w:hAnsi="Symbol" w:hint="default"/>
      </w:rPr>
    </w:lvl>
  </w:abstractNum>
  <w:abstractNum w:abstractNumId="104" w15:restartNumberingAfterBreak="0">
    <w:nsid w:val="42155339"/>
    <w:multiLevelType w:val="singleLevel"/>
    <w:tmpl w:val="AE14D300"/>
    <w:lvl w:ilvl="0">
      <w:start w:val="1"/>
      <w:numFmt w:val="bullet"/>
      <w:lvlText w:val=""/>
      <w:lvlJc w:val="left"/>
      <w:pPr>
        <w:ind w:left="720" w:hanging="360"/>
      </w:pPr>
      <w:rPr>
        <w:rFonts w:ascii="Symbol" w:hAnsi="Symbol" w:hint="default"/>
      </w:rPr>
    </w:lvl>
  </w:abstractNum>
  <w:abstractNum w:abstractNumId="105" w15:restartNumberingAfterBreak="0">
    <w:nsid w:val="42933919"/>
    <w:multiLevelType w:val="singleLevel"/>
    <w:tmpl w:val="5E00925E"/>
    <w:lvl w:ilvl="0">
      <w:start w:val="1"/>
      <w:numFmt w:val="bullet"/>
      <w:lvlText w:val=""/>
      <w:lvlJc w:val="left"/>
      <w:pPr>
        <w:ind w:left="720" w:hanging="360"/>
      </w:pPr>
      <w:rPr>
        <w:rFonts w:ascii="Symbol" w:hAnsi="Symbol" w:hint="default"/>
      </w:rPr>
    </w:lvl>
  </w:abstractNum>
  <w:abstractNum w:abstractNumId="106" w15:restartNumberingAfterBreak="0">
    <w:nsid w:val="42A2118A"/>
    <w:multiLevelType w:val="singleLevel"/>
    <w:tmpl w:val="0A2EE708"/>
    <w:lvl w:ilvl="0">
      <w:start w:val="1"/>
      <w:numFmt w:val="bullet"/>
      <w:lvlText w:val=""/>
      <w:lvlJc w:val="left"/>
      <w:pPr>
        <w:ind w:left="360" w:hanging="360"/>
      </w:pPr>
      <w:rPr>
        <w:rFonts w:ascii="Symbol" w:hAnsi="Symbol" w:hint="default"/>
      </w:rPr>
    </w:lvl>
  </w:abstractNum>
  <w:abstractNum w:abstractNumId="107" w15:restartNumberingAfterBreak="0">
    <w:nsid w:val="43CA4F3A"/>
    <w:multiLevelType w:val="singleLevel"/>
    <w:tmpl w:val="F55A07DC"/>
    <w:lvl w:ilvl="0">
      <w:start w:val="1"/>
      <w:numFmt w:val="bullet"/>
      <w:lvlText w:val=""/>
      <w:lvlJc w:val="left"/>
      <w:pPr>
        <w:ind w:left="720" w:hanging="360"/>
      </w:pPr>
      <w:rPr>
        <w:rFonts w:ascii="Symbol" w:hAnsi="Symbol" w:hint="default"/>
      </w:rPr>
    </w:lvl>
  </w:abstractNum>
  <w:abstractNum w:abstractNumId="108" w15:restartNumberingAfterBreak="0">
    <w:nsid w:val="43CF28E7"/>
    <w:multiLevelType w:val="singleLevel"/>
    <w:tmpl w:val="6C6A87AC"/>
    <w:lvl w:ilvl="0">
      <w:start w:val="1"/>
      <w:numFmt w:val="bullet"/>
      <w:lvlText w:val=""/>
      <w:lvlJc w:val="left"/>
      <w:pPr>
        <w:ind w:left="1080" w:hanging="360"/>
      </w:pPr>
      <w:rPr>
        <w:rFonts w:ascii="Symbol" w:hAnsi="Symbol" w:hint="default"/>
      </w:rPr>
    </w:lvl>
  </w:abstractNum>
  <w:abstractNum w:abstractNumId="109" w15:restartNumberingAfterBreak="0">
    <w:nsid w:val="44FA6891"/>
    <w:multiLevelType w:val="singleLevel"/>
    <w:tmpl w:val="5E00925E"/>
    <w:lvl w:ilvl="0">
      <w:start w:val="1"/>
      <w:numFmt w:val="bullet"/>
      <w:lvlText w:val=""/>
      <w:lvlJc w:val="left"/>
      <w:pPr>
        <w:ind w:left="720" w:hanging="360"/>
      </w:pPr>
      <w:rPr>
        <w:rFonts w:ascii="Symbol" w:hAnsi="Symbol" w:hint="default"/>
      </w:rPr>
    </w:lvl>
  </w:abstractNum>
  <w:abstractNum w:abstractNumId="110" w15:restartNumberingAfterBreak="0">
    <w:nsid w:val="45102EB7"/>
    <w:multiLevelType w:val="hybridMultilevel"/>
    <w:tmpl w:val="95B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63771D2"/>
    <w:multiLevelType w:val="singleLevel"/>
    <w:tmpl w:val="F40CF894"/>
    <w:lvl w:ilvl="0">
      <w:start w:val="1"/>
      <w:numFmt w:val="bullet"/>
      <w:lvlText w:val=""/>
      <w:lvlJc w:val="left"/>
      <w:pPr>
        <w:ind w:left="720" w:hanging="360"/>
      </w:pPr>
      <w:rPr>
        <w:rFonts w:ascii="Symbol" w:hAnsi="Symbol" w:hint="default"/>
      </w:rPr>
    </w:lvl>
  </w:abstractNum>
  <w:abstractNum w:abstractNumId="112" w15:restartNumberingAfterBreak="0">
    <w:nsid w:val="463F2815"/>
    <w:multiLevelType w:val="hybridMultilevel"/>
    <w:tmpl w:val="6C6A87AC"/>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3" w15:restartNumberingAfterBreak="0">
    <w:nsid w:val="46643E3A"/>
    <w:multiLevelType w:val="singleLevel"/>
    <w:tmpl w:val="3878A8A0"/>
    <w:lvl w:ilvl="0">
      <w:start w:val="1"/>
      <w:numFmt w:val="bullet"/>
      <w:lvlText w:val=""/>
      <w:lvlJc w:val="left"/>
      <w:pPr>
        <w:ind w:left="720" w:hanging="360"/>
      </w:pPr>
      <w:rPr>
        <w:rFonts w:ascii="Symbol" w:hAnsi="Symbol" w:hint="default"/>
      </w:rPr>
    </w:lvl>
  </w:abstractNum>
  <w:abstractNum w:abstractNumId="114" w15:restartNumberingAfterBreak="0">
    <w:nsid w:val="46822A37"/>
    <w:multiLevelType w:val="singleLevel"/>
    <w:tmpl w:val="F8C4FED2"/>
    <w:lvl w:ilvl="0">
      <w:start w:val="1"/>
      <w:numFmt w:val="bullet"/>
      <w:lvlText w:val=""/>
      <w:lvlJc w:val="left"/>
      <w:pPr>
        <w:ind w:left="720" w:hanging="360"/>
      </w:pPr>
      <w:rPr>
        <w:rFonts w:ascii="Symbol" w:hAnsi="Symbol" w:hint="default"/>
      </w:rPr>
    </w:lvl>
  </w:abstractNum>
  <w:abstractNum w:abstractNumId="115" w15:restartNumberingAfterBreak="0">
    <w:nsid w:val="47012694"/>
    <w:multiLevelType w:val="singleLevel"/>
    <w:tmpl w:val="5E00925E"/>
    <w:lvl w:ilvl="0">
      <w:start w:val="1"/>
      <w:numFmt w:val="bullet"/>
      <w:lvlText w:val=""/>
      <w:lvlJc w:val="left"/>
      <w:pPr>
        <w:ind w:left="720" w:hanging="360"/>
      </w:pPr>
      <w:rPr>
        <w:rFonts w:ascii="Symbol" w:hAnsi="Symbol" w:hint="default"/>
      </w:rPr>
    </w:lvl>
  </w:abstractNum>
  <w:abstractNum w:abstractNumId="116" w15:restartNumberingAfterBreak="0">
    <w:nsid w:val="476A6EDB"/>
    <w:multiLevelType w:val="singleLevel"/>
    <w:tmpl w:val="3878A8A0"/>
    <w:lvl w:ilvl="0">
      <w:start w:val="1"/>
      <w:numFmt w:val="bullet"/>
      <w:lvlText w:val=""/>
      <w:lvlJc w:val="left"/>
      <w:pPr>
        <w:ind w:left="720" w:hanging="360"/>
      </w:pPr>
      <w:rPr>
        <w:rFonts w:ascii="Symbol" w:hAnsi="Symbol" w:hint="default"/>
      </w:rPr>
    </w:lvl>
  </w:abstractNum>
  <w:abstractNum w:abstractNumId="117" w15:restartNumberingAfterBreak="0">
    <w:nsid w:val="476F3654"/>
    <w:multiLevelType w:val="hybridMultilevel"/>
    <w:tmpl w:val="E24C0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15:restartNumberingAfterBreak="0">
    <w:nsid w:val="499A66A4"/>
    <w:multiLevelType w:val="singleLevel"/>
    <w:tmpl w:val="A6FCB87A"/>
    <w:lvl w:ilvl="0">
      <w:start w:val="1"/>
      <w:numFmt w:val="bullet"/>
      <w:lvlText w:val=""/>
      <w:lvlJc w:val="left"/>
      <w:pPr>
        <w:ind w:left="720" w:hanging="360"/>
      </w:pPr>
      <w:rPr>
        <w:rFonts w:ascii="Symbol" w:hAnsi="Symbol" w:hint="default"/>
      </w:rPr>
    </w:lvl>
  </w:abstractNum>
  <w:abstractNum w:abstractNumId="119" w15:restartNumberingAfterBreak="0">
    <w:nsid w:val="49A33ECC"/>
    <w:multiLevelType w:val="singleLevel"/>
    <w:tmpl w:val="8286C518"/>
    <w:lvl w:ilvl="0">
      <w:start w:val="1"/>
      <w:numFmt w:val="bullet"/>
      <w:lvlText w:val=""/>
      <w:lvlJc w:val="left"/>
      <w:pPr>
        <w:ind w:left="720" w:hanging="360"/>
      </w:pPr>
      <w:rPr>
        <w:rFonts w:ascii="Symbol" w:hAnsi="Symbol" w:hint="default"/>
      </w:rPr>
    </w:lvl>
  </w:abstractNum>
  <w:abstractNum w:abstractNumId="120" w15:restartNumberingAfterBreak="0">
    <w:nsid w:val="4A8A545C"/>
    <w:multiLevelType w:val="singleLevel"/>
    <w:tmpl w:val="F40CF894"/>
    <w:lvl w:ilvl="0">
      <w:start w:val="1"/>
      <w:numFmt w:val="bullet"/>
      <w:lvlText w:val=""/>
      <w:lvlJc w:val="left"/>
      <w:pPr>
        <w:ind w:left="720" w:hanging="360"/>
      </w:pPr>
      <w:rPr>
        <w:rFonts w:ascii="Symbol" w:hAnsi="Symbol" w:hint="default"/>
      </w:rPr>
    </w:lvl>
  </w:abstractNum>
  <w:abstractNum w:abstractNumId="121" w15:restartNumberingAfterBreak="0">
    <w:nsid w:val="4AAD23A7"/>
    <w:multiLevelType w:val="singleLevel"/>
    <w:tmpl w:val="529CA292"/>
    <w:lvl w:ilvl="0">
      <w:start w:val="1"/>
      <w:numFmt w:val="bullet"/>
      <w:lvlText w:val=""/>
      <w:lvlJc w:val="left"/>
      <w:pPr>
        <w:ind w:left="1080" w:hanging="360"/>
      </w:pPr>
      <w:rPr>
        <w:rFonts w:ascii="Symbol" w:hAnsi="Symbol" w:hint="default"/>
      </w:rPr>
    </w:lvl>
  </w:abstractNum>
  <w:abstractNum w:abstractNumId="122" w15:restartNumberingAfterBreak="0">
    <w:nsid w:val="4AF907C0"/>
    <w:multiLevelType w:val="singleLevel"/>
    <w:tmpl w:val="A6FCB87A"/>
    <w:lvl w:ilvl="0">
      <w:start w:val="1"/>
      <w:numFmt w:val="bullet"/>
      <w:lvlText w:val=""/>
      <w:lvlJc w:val="left"/>
      <w:pPr>
        <w:ind w:left="720" w:hanging="360"/>
      </w:pPr>
      <w:rPr>
        <w:rFonts w:ascii="Symbol" w:hAnsi="Symbol" w:hint="default"/>
      </w:rPr>
    </w:lvl>
  </w:abstractNum>
  <w:abstractNum w:abstractNumId="123" w15:restartNumberingAfterBreak="0">
    <w:nsid w:val="4BB17C42"/>
    <w:multiLevelType w:val="singleLevel"/>
    <w:tmpl w:val="529CA292"/>
    <w:lvl w:ilvl="0">
      <w:start w:val="1"/>
      <w:numFmt w:val="bullet"/>
      <w:lvlText w:val=""/>
      <w:lvlJc w:val="left"/>
      <w:pPr>
        <w:ind w:left="1080" w:hanging="360"/>
      </w:pPr>
      <w:rPr>
        <w:rFonts w:ascii="Symbol" w:hAnsi="Symbol" w:hint="default"/>
      </w:rPr>
    </w:lvl>
  </w:abstractNum>
  <w:abstractNum w:abstractNumId="124" w15:restartNumberingAfterBreak="0">
    <w:nsid w:val="4C5C21C9"/>
    <w:multiLevelType w:val="singleLevel"/>
    <w:tmpl w:val="95BCE8FC"/>
    <w:lvl w:ilvl="0">
      <w:start w:val="1"/>
      <w:numFmt w:val="bullet"/>
      <w:lvlText w:val=""/>
      <w:lvlJc w:val="left"/>
      <w:pPr>
        <w:ind w:left="720" w:hanging="360"/>
      </w:pPr>
      <w:rPr>
        <w:rFonts w:ascii="Symbol" w:hAnsi="Symbol" w:hint="default"/>
      </w:rPr>
    </w:lvl>
  </w:abstractNum>
  <w:abstractNum w:abstractNumId="125" w15:restartNumberingAfterBreak="0">
    <w:nsid w:val="4E2F32D8"/>
    <w:multiLevelType w:val="singleLevel"/>
    <w:tmpl w:val="ECA29264"/>
    <w:lvl w:ilvl="0">
      <w:start w:val="1"/>
      <w:numFmt w:val="bullet"/>
      <w:lvlText w:val=""/>
      <w:lvlJc w:val="left"/>
      <w:pPr>
        <w:ind w:left="1429" w:hanging="360"/>
      </w:pPr>
      <w:rPr>
        <w:rFonts w:ascii="Symbol" w:hAnsi="Symbol" w:hint="default"/>
      </w:rPr>
    </w:lvl>
  </w:abstractNum>
  <w:abstractNum w:abstractNumId="126" w15:restartNumberingAfterBreak="0">
    <w:nsid w:val="4E974983"/>
    <w:multiLevelType w:val="singleLevel"/>
    <w:tmpl w:val="F55A07DC"/>
    <w:lvl w:ilvl="0">
      <w:start w:val="1"/>
      <w:numFmt w:val="bullet"/>
      <w:lvlText w:val=""/>
      <w:lvlJc w:val="left"/>
      <w:pPr>
        <w:ind w:left="720" w:hanging="360"/>
      </w:pPr>
      <w:rPr>
        <w:rFonts w:ascii="Symbol" w:hAnsi="Symbol" w:hint="default"/>
      </w:rPr>
    </w:lvl>
  </w:abstractNum>
  <w:abstractNum w:abstractNumId="127" w15:restartNumberingAfterBreak="0">
    <w:nsid w:val="4EB954B5"/>
    <w:multiLevelType w:val="singleLevel"/>
    <w:tmpl w:val="F55A07DC"/>
    <w:lvl w:ilvl="0">
      <w:start w:val="1"/>
      <w:numFmt w:val="bullet"/>
      <w:lvlText w:val=""/>
      <w:lvlJc w:val="left"/>
      <w:pPr>
        <w:ind w:left="720" w:hanging="360"/>
      </w:pPr>
      <w:rPr>
        <w:rFonts w:ascii="Symbol" w:hAnsi="Symbol" w:hint="default"/>
      </w:rPr>
    </w:lvl>
  </w:abstractNum>
  <w:abstractNum w:abstractNumId="128" w15:restartNumberingAfterBreak="0">
    <w:nsid w:val="4F7A4F69"/>
    <w:multiLevelType w:val="singleLevel"/>
    <w:tmpl w:val="77C2CDCA"/>
    <w:lvl w:ilvl="0">
      <w:start w:val="1"/>
      <w:numFmt w:val="bullet"/>
      <w:lvlText w:val=""/>
      <w:lvlJc w:val="left"/>
      <w:pPr>
        <w:ind w:left="720" w:hanging="360"/>
      </w:pPr>
      <w:rPr>
        <w:rFonts w:ascii="Symbol" w:hAnsi="Symbol" w:hint="default"/>
      </w:rPr>
    </w:lvl>
  </w:abstractNum>
  <w:abstractNum w:abstractNumId="129" w15:restartNumberingAfterBreak="0">
    <w:nsid w:val="4FB64697"/>
    <w:multiLevelType w:val="hybridMultilevel"/>
    <w:tmpl w:val="9B1279CA"/>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0" w15:restartNumberingAfterBreak="0">
    <w:nsid w:val="51196C31"/>
    <w:multiLevelType w:val="singleLevel"/>
    <w:tmpl w:val="4A1ECE02"/>
    <w:lvl w:ilvl="0">
      <w:start w:val="1"/>
      <w:numFmt w:val="bullet"/>
      <w:lvlText w:val=""/>
      <w:lvlJc w:val="left"/>
      <w:pPr>
        <w:ind w:left="720" w:hanging="360"/>
      </w:pPr>
      <w:rPr>
        <w:rFonts w:ascii="Symbol" w:hAnsi="Symbol" w:hint="default"/>
      </w:rPr>
    </w:lvl>
  </w:abstractNum>
  <w:abstractNum w:abstractNumId="131" w15:restartNumberingAfterBreak="0">
    <w:nsid w:val="51AD205B"/>
    <w:multiLevelType w:val="singleLevel"/>
    <w:tmpl w:val="3878A8A0"/>
    <w:lvl w:ilvl="0">
      <w:start w:val="1"/>
      <w:numFmt w:val="bullet"/>
      <w:lvlText w:val=""/>
      <w:lvlJc w:val="left"/>
      <w:pPr>
        <w:ind w:left="720" w:hanging="360"/>
      </w:pPr>
      <w:rPr>
        <w:rFonts w:ascii="Symbol" w:hAnsi="Symbol" w:hint="default"/>
      </w:rPr>
    </w:lvl>
  </w:abstractNum>
  <w:abstractNum w:abstractNumId="132" w15:restartNumberingAfterBreak="0">
    <w:nsid w:val="51D50C38"/>
    <w:multiLevelType w:val="singleLevel"/>
    <w:tmpl w:val="4A1ECE02"/>
    <w:lvl w:ilvl="0">
      <w:start w:val="1"/>
      <w:numFmt w:val="bullet"/>
      <w:lvlText w:val=""/>
      <w:lvlJc w:val="left"/>
      <w:pPr>
        <w:ind w:left="720" w:hanging="360"/>
      </w:pPr>
      <w:rPr>
        <w:rFonts w:ascii="Symbol" w:hAnsi="Symbol" w:hint="default"/>
      </w:rPr>
    </w:lvl>
  </w:abstractNum>
  <w:abstractNum w:abstractNumId="133" w15:restartNumberingAfterBreak="0">
    <w:nsid w:val="52CD4A94"/>
    <w:multiLevelType w:val="singleLevel"/>
    <w:tmpl w:val="DBA4CFB0"/>
    <w:lvl w:ilvl="0">
      <w:start w:val="1"/>
      <w:numFmt w:val="bullet"/>
      <w:lvlText w:val=""/>
      <w:lvlJc w:val="left"/>
      <w:pPr>
        <w:ind w:left="720" w:hanging="360"/>
      </w:pPr>
      <w:rPr>
        <w:rFonts w:ascii="Symbol" w:hAnsi="Symbol" w:hint="default"/>
      </w:rPr>
    </w:lvl>
  </w:abstractNum>
  <w:abstractNum w:abstractNumId="134" w15:restartNumberingAfterBreak="0">
    <w:nsid w:val="52E025D9"/>
    <w:multiLevelType w:val="hybridMultilevel"/>
    <w:tmpl w:val="4FA02F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5" w15:restartNumberingAfterBreak="0">
    <w:nsid w:val="53DD1A90"/>
    <w:multiLevelType w:val="singleLevel"/>
    <w:tmpl w:val="7DEC40E4"/>
    <w:lvl w:ilvl="0">
      <w:start w:val="1"/>
      <w:numFmt w:val="bullet"/>
      <w:lvlText w:val=""/>
      <w:lvlJc w:val="left"/>
      <w:pPr>
        <w:ind w:left="1146" w:hanging="360"/>
      </w:pPr>
      <w:rPr>
        <w:rFonts w:ascii="Symbol" w:hAnsi="Symbol" w:hint="default"/>
      </w:rPr>
    </w:lvl>
  </w:abstractNum>
  <w:abstractNum w:abstractNumId="136" w15:restartNumberingAfterBreak="0">
    <w:nsid w:val="53F51A54"/>
    <w:multiLevelType w:val="singleLevel"/>
    <w:tmpl w:val="F40CF894"/>
    <w:lvl w:ilvl="0">
      <w:start w:val="1"/>
      <w:numFmt w:val="bullet"/>
      <w:lvlText w:val=""/>
      <w:lvlJc w:val="left"/>
      <w:pPr>
        <w:ind w:left="720" w:hanging="360"/>
      </w:pPr>
      <w:rPr>
        <w:rFonts w:ascii="Symbol" w:hAnsi="Symbol" w:hint="default"/>
      </w:rPr>
    </w:lvl>
  </w:abstractNum>
  <w:abstractNum w:abstractNumId="137" w15:restartNumberingAfterBreak="0">
    <w:nsid w:val="5451616F"/>
    <w:multiLevelType w:val="singleLevel"/>
    <w:tmpl w:val="ECA29264"/>
    <w:lvl w:ilvl="0">
      <w:start w:val="1"/>
      <w:numFmt w:val="bullet"/>
      <w:lvlText w:val=""/>
      <w:lvlJc w:val="left"/>
      <w:pPr>
        <w:ind w:left="1429" w:hanging="360"/>
      </w:pPr>
      <w:rPr>
        <w:rFonts w:ascii="Symbol" w:hAnsi="Symbol" w:hint="default"/>
      </w:rPr>
    </w:lvl>
  </w:abstractNum>
  <w:abstractNum w:abstractNumId="138" w15:restartNumberingAfterBreak="0">
    <w:nsid w:val="54A80A10"/>
    <w:multiLevelType w:val="singleLevel"/>
    <w:tmpl w:val="8286C518"/>
    <w:lvl w:ilvl="0">
      <w:start w:val="1"/>
      <w:numFmt w:val="bullet"/>
      <w:lvlText w:val=""/>
      <w:lvlJc w:val="left"/>
      <w:pPr>
        <w:ind w:left="720" w:hanging="360"/>
      </w:pPr>
      <w:rPr>
        <w:rFonts w:ascii="Symbol" w:hAnsi="Symbol" w:hint="default"/>
      </w:rPr>
    </w:lvl>
  </w:abstractNum>
  <w:abstractNum w:abstractNumId="139" w15:restartNumberingAfterBreak="0">
    <w:nsid w:val="551961AD"/>
    <w:multiLevelType w:val="singleLevel"/>
    <w:tmpl w:val="A182A3B8"/>
    <w:lvl w:ilvl="0">
      <w:start w:val="1"/>
      <w:numFmt w:val="bullet"/>
      <w:lvlText w:val=""/>
      <w:lvlJc w:val="left"/>
      <w:pPr>
        <w:ind w:left="720" w:hanging="360"/>
      </w:pPr>
      <w:rPr>
        <w:rFonts w:ascii="Symbol" w:hAnsi="Symbol" w:hint="default"/>
      </w:rPr>
    </w:lvl>
  </w:abstractNum>
  <w:abstractNum w:abstractNumId="140" w15:restartNumberingAfterBreak="0">
    <w:nsid w:val="55A15A91"/>
    <w:multiLevelType w:val="singleLevel"/>
    <w:tmpl w:val="4A1ECE02"/>
    <w:lvl w:ilvl="0">
      <w:start w:val="1"/>
      <w:numFmt w:val="bullet"/>
      <w:lvlText w:val=""/>
      <w:lvlJc w:val="left"/>
      <w:pPr>
        <w:ind w:left="720" w:hanging="360"/>
      </w:pPr>
      <w:rPr>
        <w:rFonts w:ascii="Symbol" w:hAnsi="Symbol" w:hint="default"/>
      </w:rPr>
    </w:lvl>
  </w:abstractNum>
  <w:abstractNum w:abstractNumId="141" w15:restartNumberingAfterBreak="0">
    <w:nsid w:val="55C10687"/>
    <w:multiLevelType w:val="hybridMultilevel"/>
    <w:tmpl w:val="633081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2" w15:restartNumberingAfterBreak="0">
    <w:nsid w:val="55F97237"/>
    <w:multiLevelType w:val="singleLevel"/>
    <w:tmpl w:val="F55A07DC"/>
    <w:lvl w:ilvl="0">
      <w:start w:val="1"/>
      <w:numFmt w:val="bullet"/>
      <w:lvlText w:val=""/>
      <w:lvlJc w:val="left"/>
      <w:pPr>
        <w:ind w:left="720" w:hanging="360"/>
      </w:pPr>
      <w:rPr>
        <w:rFonts w:ascii="Symbol" w:hAnsi="Symbol" w:hint="default"/>
      </w:rPr>
    </w:lvl>
  </w:abstractNum>
  <w:abstractNum w:abstractNumId="143" w15:restartNumberingAfterBreak="0">
    <w:nsid w:val="56484F2B"/>
    <w:multiLevelType w:val="singleLevel"/>
    <w:tmpl w:val="4A1ECE02"/>
    <w:lvl w:ilvl="0">
      <w:start w:val="1"/>
      <w:numFmt w:val="bullet"/>
      <w:lvlText w:val=""/>
      <w:lvlJc w:val="left"/>
      <w:pPr>
        <w:ind w:left="720" w:hanging="360"/>
      </w:pPr>
      <w:rPr>
        <w:rFonts w:ascii="Symbol" w:hAnsi="Symbol" w:hint="default"/>
      </w:rPr>
    </w:lvl>
  </w:abstractNum>
  <w:abstractNum w:abstractNumId="144" w15:restartNumberingAfterBreak="0">
    <w:nsid w:val="58811D31"/>
    <w:multiLevelType w:val="hybridMultilevel"/>
    <w:tmpl w:val="3E328A9E"/>
    <w:lvl w:ilvl="0" w:tplc="04090001">
      <w:start w:val="1"/>
      <w:numFmt w:val="bullet"/>
      <w:lvlText w:val=""/>
      <w:lvlJc w:val="left"/>
      <w:pPr>
        <w:ind w:left="360" w:hanging="360"/>
      </w:pPr>
      <w:rPr>
        <w:rFonts w:ascii="Symbol" w:hAnsi="Symbol" w:hint="default"/>
      </w:rPr>
    </w:lvl>
    <w:lvl w:ilvl="1" w:tplc="45FE94C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59764C45"/>
    <w:multiLevelType w:val="hybridMultilevel"/>
    <w:tmpl w:val="6C020C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6" w15:restartNumberingAfterBreak="0">
    <w:nsid w:val="5B1F72D4"/>
    <w:multiLevelType w:val="singleLevel"/>
    <w:tmpl w:val="4A1ECE02"/>
    <w:lvl w:ilvl="0">
      <w:start w:val="1"/>
      <w:numFmt w:val="bullet"/>
      <w:lvlText w:val=""/>
      <w:lvlJc w:val="left"/>
      <w:pPr>
        <w:ind w:left="720" w:hanging="360"/>
      </w:pPr>
      <w:rPr>
        <w:rFonts w:ascii="Symbol" w:hAnsi="Symbol" w:hint="default"/>
      </w:rPr>
    </w:lvl>
  </w:abstractNum>
  <w:abstractNum w:abstractNumId="147" w15:restartNumberingAfterBreak="0">
    <w:nsid w:val="5B9933A4"/>
    <w:multiLevelType w:val="singleLevel"/>
    <w:tmpl w:val="A182A3B8"/>
    <w:lvl w:ilvl="0">
      <w:start w:val="1"/>
      <w:numFmt w:val="bullet"/>
      <w:lvlText w:val=""/>
      <w:lvlJc w:val="left"/>
      <w:pPr>
        <w:ind w:left="720" w:hanging="360"/>
      </w:pPr>
      <w:rPr>
        <w:rFonts w:ascii="Symbol" w:hAnsi="Symbol" w:hint="default"/>
      </w:rPr>
    </w:lvl>
  </w:abstractNum>
  <w:abstractNum w:abstractNumId="148" w15:restartNumberingAfterBreak="0">
    <w:nsid w:val="5BE93A55"/>
    <w:multiLevelType w:val="singleLevel"/>
    <w:tmpl w:val="3E328A9E"/>
    <w:lvl w:ilvl="0">
      <w:start w:val="1"/>
      <w:numFmt w:val="bullet"/>
      <w:lvlText w:val=""/>
      <w:lvlJc w:val="left"/>
      <w:pPr>
        <w:ind w:left="360" w:hanging="360"/>
      </w:pPr>
      <w:rPr>
        <w:rFonts w:ascii="Symbol" w:hAnsi="Symbol" w:hint="default"/>
      </w:rPr>
    </w:lvl>
  </w:abstractNum>
  <w:abstractNum w:abstractNumId="149" w15:restartNumberingAfterBreak="0">
    <w:nsid w:val="5C573199"/>
    <w:multiLevelType w:val="singleLevel"/>
    <w:tmpl w:val="F60492F0"/>
    <w:lvl w:ilvl="0">
      <w:start w:val="1"/>
      <w:numFmt w:val="bullet"/>
      <w:lvlText w:val=""/>
      <w:lvlJc w:val="left"/>
      <w:pPr>
        <w:ind w:left="720" w:hanging="360"/>
      </w:pPr>
      <w:rPr>
        <w:rFonts w:ascii="Symbol" w:hAnsi="Symbol" w:hint="default"/>
      </w:rPr>
    </w:lvl>
  </w:abstractNum>
  <w:abstractNum w:abstractNumId="150" w15:restartNumberingAfterBreak="0">
    <w:nsid w:val="5C6D00C3"/>
    <w:multiLevelType w:val="hybridMultilevel"/>
    <w:tmpl w:val="F40CF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5CBB2D7C"/>
    <w:multiLevelType w:val="singleLevel"/>
    <w:tmpl w:val="4A1ECE02"/>
    <w:lvl w:ilvl="0">
      <w:start w:val="1"/>
      <w:numFmt w:val="bullet"/>
      <w:lvlText w:val=""/>
      <w:lvlJc w:val="left"/>
      <w:pPr>
        <w:ind w:left="720" w:hanging="360"/>
      </w:pPr>
      <w:rPr>
        <w:rFonts w:ascii="Symbol" w:hAnsi="Symbol" w:hint="default"/>
      </w:rPr>
    </w:lvl>
  </w:abstractNum>
  <w:abstractNum w:abstractNumId="152" w15:restartNumberingAfterBreak="0">
    <w:nsid w:val="5D281944"/>
    <w:multiLevelType w:val="singleLevel"/>
    <w:tmpl w:val="AE14D300"/>
    <w:lvl w:ilvl="0">
      <w:start w:val="1"/>
      <w:numFmt w:val="bullet"/>
      <w:lvlText w:val=""/>
      <w:lvlJc w:val="left"/>
      <w:pPr>
        <w:ind w:left="720" w:hanging="360"/>
      </w:pPr>
      <w:rPr>
        <w:rFonts w:ascii="Symbol" w:hAnsi="Symbol" w:hint="default"/>
      </w:rPr>
    </w:lvl>
  </w:abstractNum>
  <w:abstractNum w:abstractNumId="153" w15:restartNumberingAfterBreak="0">
    <w:nsid w:val="5DE84838"/>
    <w:multiLevelType w:val="singleLevel"/>
    <w:tmpl w:val="A6FCB87A"/>
    <w:lvl w:ilvl="0">
      <w:start w:val="1"/>
      <w:numFmt w:val="bullet"/>
      <w:lvlText w:val=""/>
      <w:lvlJc w:val="left"/>
      <w:pPr>
        <w:ind w:left="720" w:hanging="360"/>
      </w:pPr>
      <w:rPr>
        <w:rFonts w:ascii="Symbol" w:hAnsi="Symbol" w:hint="default"/>
      </w:rPr>
    </w:lvl>
  </w:abstractNum>
  <w:abstractNum w:abstractNumId="154" w15:restartNumberingAfterBreak="0">
    <w:nsid w:val="5DFA7CCB"/>
    <w:multiLevelType w:val="singleLevel"/>
    <w:tmpl w:val="E24C097C"/>
    <w:lvl w:ilvl="0">
      <w:start w:val="1"/>
      <w:numFmt w:val="bullet"/>
      <w:lvlText w:val=""/>
      <w:lvlJc w:val="left"/>
      <w:pPr>
        <w:ind w:left="720" w:hanging="360"/>
      </w:pPr>
      <w:rPr>
        <w:rFonts w:ascii="Symbol" w:hAnsi="Symbol" w:hint="default"/>
      </w:rPr>
    </w:lvl>
  </w:abstractNum>
  <w:abstractNum w:abstractNumId="155" w15:restartNumberingAfterBreak="0">
    <w:nsid w:val="5FBB4C23"/>
    <w:multiLevelType w:val="singleLevel"/>
    <w:tmpl w:val="4A1ECE02"/>
    <w:lvl w:ilvl="0">
      <w:start w:val="1"/>
      <w:numFmt w:val="bullet"/>
      <w:lvlText w:val=""/>
      <w:lvlJc w:val="left"/>
      <w:pPr>
        <w:ind w:left="720" w:hanging="360"/>
      </w:pPr>
      <w:rPr>
        <w:rFonts w:ascii="Symbol" w:hAnsi="Symbol" w:hint="default"/>
      </w:rPr>
    </w:lvl>
  </w:abstractNum>
  <w:abstractNum w:abstractNumId="156" w15:restartNumberingAfterBreak="0">
    <w:nsid w:val="5FD40943"/>
    <w:multiLevelType w:val="singleLevel"/>
    <w:tmpl w:val="8286C518"/>
    <w:lvl w:ilvl="0">
      <w:start w:val="1"/>
      <w:numFmt w:val="bullet"/>
      <w:lvlText w:val=""/>
      <w:lvlJc w:val="left"/>
      <w:pPr>
        <w:ind w:left="720" w:hanging="360"/>
      </w:pPr>
      <w:rPr>
        <w:rFonts w:ascii="Symbol" w:hAnsi="Symbol" w:hint="default"/>
      </w:rPr>
    </w:lvl>
  </w:abstractNum>
  <w:abstractNum w:abstractNumId="157" w15:restartNumberingAfterBreak="0">
    <w:nsid w:val="620C3755"/>
    <w:multiLevelType w:val="singleLevel"/>
    <w:tmpl w:val="5E00925E"/>
    <w:lvl w:ilvl="0">
      <w:start w:val="1"/>
      <w:numFmt w:val="bullet"/>
      <w:lvlText w:val=""/>
      <w:lvlJc w:val="left"/>
      <w:pPr>
        <w:ind w:left="720" w:hanging="360"/>
      </w:pPr>
      <w:rPr>
        <w:rFonts w:ascii="Symbol" w:hAnsi="Symbol" w:hint="default"/>
      </w:rPr>
    </w:lvl>
  </w:abstractNum>
  <w:abstractNum w:abstractNumId="158" w15:restartNumberingAfterBreak="0">
    <w:nsid w:val="62505561"/>
    <w:multiLevelType w:val="singleLevel"/>
    <w:tmpl w:val="F8C4FED2"/>
    <w:lvl w:ilvl="0">
      <w:start w:val="1"/>
      <w:numFmt w:val="bullet"/>
      <w:lvlText w:val=""/>
      <w:lvlJc w:val="left"/>
      <w:pPr>
        <w:ind w:left="720" w:hanging="360"/>
      </w:pPr>
      <w:rPr>
        <w:rFonts w:ascii="Symbol" w:hAnsi="Symbol" w:hint="default"/>
      </w:rPr>
    </w:lvl>
  </w:abstractNum>
  <w:abstractNum w:abstractNumId="159" w15:restartNumberingAfterBreak="0">
    <w:nsid w:val="62EB18FF"/>
    <w:multiLevelType w:val="hybridMultilevel"/>
    <w:tmpl w:val="529CA2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62F635B7"/>
    <w:multiLevelType w:val="singleLevel"/>
    <w:tmpl w:val="E24C097C"/>
    <w:lvl w:ilvl="0">
      <w:start w:val="1"/>
      <w:numFmt w:val="bullet"/>
      <w:lvlText w:val=""/>
      <w:lvlJc w:val="left"/>
      <w:pPr>
        <w:ind w:left="720" w:hanging="360"/>
      </w:pPr>
      <w:rPr>
        <w:rFonts w:ascii="Symbol" w:hAnsi="Symbol" w:hint="default"/>
      </w:rPr>
    </w:lvl>
  </w:abstractNum>
  <w:abstractNum w:abstractNumId="161" w15:restartNumberingAfterBreak="0">
    <w:nsid w:val="62FE77C3"/>
    <w:multiLevelType w:val="singleLevel"/>
    <w:tmpl w:val="AE14D300"/>
    <w:lvl w:ilvl="0">
      <w:start w:val="1"/>
      <w:numFmt w:val="bullet"/>
      <w:lvlText w:val=""/>
      <w:lvlJc w:val="left"/>
      <w:pPr>
        <w:ind w:left="720" w:hanging="360"/>
      </w:pPr>
      <w:rPr>
        <w:rFonts w:ascii="Symbol" w:hAnsi="Symbol" w:hint="default"/>
      </w:rPr>
    </w:lvl>
  </w:abstractNum>
  <w:abstractNum w:abstractNumId="162" w15:restartNumberingAfterBreak="0">
    <w:nsid w:val="631C0353"/>
    <w:multiLevelType w:val="singleLevel"/>
    <w:tmpl w:val="4FA02FCA"/>
    <w:lvl w:ilvl="0">
      <w:start w:val="1"/>
      <w:numFmt w:val="bullet"/>
      <w:lvlText w:val=""/>
      <w:lvlJc w:val="left"/>
      <w:pPr>
        <w:ind w:left="720" w:hanging="360"/>
      </w:pPr>
      <w:rPr>
        <w:rFonts w:ascii="Symbol" w:hAnsi="Symbol" w:hint="default"/>
      </w:rPr>
    </w:lvl>
  </w:abstractNum>
  <w:abstractNum w:abstractNumId="163" w15:restartNumberingAfterBreak="0">
    <w:nsid w:val="64170408"/>
    <w:multiLevelType w:val="singleLevel"/>
    <w:tmpl w:val="4A1ECE02"/>
    <w:lvl w:ilvl="0">
      <w:start w:val="1"/>
      <w:numFmt w:val="bullet"/>
      <w:lvlText w:val=""/>
      <w:lvlJc w:val="left"/>
      <w:pPr>
        <w:ind w:left="720" w:hanging="360"/>
      </w:pPr>
      <w:rPr>
        <w:rFonts w:ascii="Symbol" w:hAnsi="Symbol" w:hint="default"/>
      </w:rPr>
    </w:lvl>
  </w:abstractNum>
  <w:abstractNum w:abstractNumId="164" w15:restartNumberingAfterBreak="0">
    <w:nsid w:val="64927FA0"/>
    <w:multiLevelType w:val="singleLevel"/>
    <w:tmpl w:val="AE14D300"/>
    <w:lvl w:ilvl="0">
      <w:start w:val="1"/>
      <w:numFmt w:val="bullet"/>
      <w:lvlText w:val=""/>
      <w:lvlJc w:val="left"/>
      <w:pPr>
        <w:ind w:left="720" w:hanging="360"/>
      </w:pPr>
      <w:rPr>
        <w:rFonts w:ascii="Symbol" w:hAnsi="Symbol" w:hint="default"/>
      </w:rPr>
    </w:lvl>
  </w:abstractNum>
  <w:abstractNum w:abstractNumId="165" w15:restartNumberingAfterBreak="0">
    <w:nsid w:val="649F6E98"/>
    <w:multiLevelType w:val="singleLevel"/>
    <w:tmpl w:val="529CA292"/>
    <w:lvl w:ilvl="0">
      <w:start w:val="1"/>
      <w:numFmt w:val="bullet"/>
      <w:lvlText w:val=""/>
      <w:lvlJc w:val="left"/>
      <w:pPr>
        <w:ind w:left="1080" w:hanging="360"/>
      </w:pPr>
      <w:rPr>
        <w:rFonts w:ascii="Symbol" w:hAnsi="Symbol" w:hint="default"/>
      </w:rPr>
    </w:lvl>
  </w:abstractNum>
  <w:abstractNum w:abstractNumId="166" w15:restartNumberingAfterBreak="0">
    <w:nsid w:val="65A70DAE"/>
    <w:multiLevelType w:val="singleLevel"/>
    <w:tmpl w:val="3878A8A0"/>
    <w:lvl w:ilvl="0">
      <w:start w:val="1"/>
      <w:numFmt w:val="bullet"/>
      <w:lvlText w:val=""/>
      <w:lvlJc w:val="left"/>
      <w:pPr>
        <w:ind w:left="720" w:hanging="360"/>
      </w:pPr>
      <w:rPr>
        <w:rFonts w:ascii="Symbol" w:hAnsi="Symbol" w:hint="default"/>
      </w:rPr>
    </w:lvl>
  </w:abstractNum>
  <w:abstractNum w:abstractNumId="167" w15:restartNumberingAfterBreak="0">
    <w:nsid w:val="65DD163C"/>
    <w:multiLevelType w:val="singleLevel"/>
    <w:tmpl w:val="3878A8A0"/>
    <w:lvl w:ilvl="0">
      <w:start w:val="1"/>
      <w:numFmt w:val="bullet"/>
      <w:lvlText w:val=""/>
      <w:lvlJc w:val="left"/>
      <w:pPr>
        <w:ind w:left="720" w:hanging="360"/>
      </w:pPr>
      <w:rPr>
        <w:rFonts w:ascii="Symbol" w:hAnsi="Symbol" w:hint="default"/>
      </w:rPr>
    </w:lvl>
  </w:abstractNum>
  <w:abstractNum w:abstractNumId="168" w15:restartNumberingAfterBreak="0">
    <w:nsid w:val="66312E89"/>
    <w:multiLevelType w:val="singleLevel"/>
    <w:tmpl w:val="529CA292"/>
    <w:lvl w:ilvl="0">
      <w:start w:val="1"/>
      <w:numFmt w:val="bullet"/>
      <w:lvlText w:val=""/>
      <w:lvlJc w:val="left"/>
      <w:pPr>
        <w:ind w:left="1080" w:hanging="360"/>
      </w:pPr>
      <w:rPr>
        <w:rFonts w:ascii="Symbol" w:hAnsi="Symbol" w:hint="default"/>
      </w:rPr>
    </w:lvl>
  </w:abstractNum>
  <w:abstractNum w:abstractNumId="169" w15:restartNumberingAfterBreak="0">
    <w:nsid w:val="66516E83"/>
    <w:multiLevelType w:val="hybridMultilevel"/>
    <w:tmpl w:val="CABAE9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0" w15:restartNumberingAfterBreak="0">
    <w:nsid w:val="67F72A26"/>
    <w:multiLevelType w:val="singleLevel"/>
    <w:tmpl w:val="0966E606"/>
    <w:lvl w:ilvl="0">
      <w:start w:val="1"/>
      <w:numFmt w:val="bullet"/>
      <w:lvlText w:val=""/>
      <w:lvlJc w:val="left"/>
      <w:pPr>
        <w:ind w:left="798" w:hanging="360"/>
      </w:pPr>
      <w:rPr>
        <w:rFonts w:ascii="Symbol" w:hAnsi="Symbol" w:hint="default"/>
      </w:rPr>
    </w:lvl>
  </w:abstractNum>
  <w:abstractNum w:abstractNumId="171" w15:restartNumberingAfterBreak="0">
    <w:nsid w:val="69384A48"/>
    <w:multiLevelType w:val="singleLevel"/>
    <w:tmpl w:val="C3342E9C"/>
    <w:lvl w:ilvl="0">
      <w:start w:val="1"/>
      <w:numFmt w:val="bullet"/>
      <w:lvlText w:val=""/>
      <w:lvlJc w:val="left"/>
      <w:pPr>
        <w:ind w:left="798" w:hanging="360"/>
      </w:pPr>
      <w:rPr>
        <w:rFonts w:ascii="Symbol" w:hAnsi="Symbol" w:hint="default"/>
      </w:rPr>
    </w:lvl>
  </w:abstractNum>
  <w:abstractNum w:abstractNumId="172" w15:restartNumberingAfterBreak="0">
    <w:nsid w:val="6B5B5AEF"/>
    <w:multiLevelType w:val="singleLevel"/>
    <w:tmpl w:val="C086728C"/>
    <w:lvl w:ilvl="0">
      <w:start w:val="1"/>
      <w:numFmt w:val="bullet"/>
      <w:lvlText w:val=""/>
      <w:lvlJc w:val="left"/>
      <w:pPr>
        <w:ind w:left="786" w:hanging="360"/>
      </w:pPr>
      <w:rPr>
        <w:rFonts w:ascii="Symbol" w:hAnsi="Symbol" w:hint="default"/>
      </w:rPr>
    </w:lvl>
  </w:abstractNum>
  <w:abstractNum w:abstractNumId="173" w15:restartNumberingAfterBreak="0">
    <w:nsid w:val="6C473D89"/>
    <w:multiLevelType w:val="singleLevel"/>
    <w:tmpl w:val="4A1ECE02"/>
    <w:lvl w:ilvl="0">
      <w:start w:val="1"/>
      <w:numFmt w:val="bullet"/>
      <w:lvlText w:val=""/>
      <w:lvlJc w:val="left"/>
      <w:pPr>
        <w:ind w:left="720" w:hanging="360"/>
      </w:pPr>
      <w:rPr>
        <w:rFonts w:ascii="Symbol" w:hAnsi="Symbol" w:hint="default"/>
      </w:rPr>
    </w:lvl>
  </w:abstractNum>
  <w:abstractNum w:abstractNumId="174" w15:restartNumberingAfterBreak="0">
    <w:nsid w:val="6C900C54"/>
    <w:multiLevelType w:val="hybridMultilevel"/>
    <w:tmpl w:val="4F7C9BBC"/>
    <w:lvl w:ilvl="0" w:tplc="080C0001">
      <w:start w:val="1"/>
      <w:numFmt w:val="bullet"/>
      <w:lvlText w:val=""/>
      <w:lvlJc w:val="left"/>
      <w:pPr>
        <w:ind w:left="2199" w:hanging="360"/>
      </w:pPr>
      <w:rPr>
        <w:rFonts w:ascii="Symbol" w:hAnsi="Symbol" w:hint="default"/>
      </w:rPr>
    </w:lvl>
    <w:lvl w:ilvl="1" w:tplc="08090003" w:tentative="1">
      <w:start w:val="1"/>
      <w:numFmt w:val="bullet"/>
      <w:lvlText w:val="o"/>
      <w:lvlJc w:val="left"/>
      <w:pPr>
        <w:ind w:left="2919" w:hanging="360"/>
      </w:pPr>
      <w:rPr>
        <w:rFonts w:ascii="Courier New" w:hAnsi="Courier New" w:cs="Courier New" w:hint="default"/>
      </w:rPr>
    </w:lvl>
    <w:lvl w:ilvl="2" w:tplc="08090005" w:tentative="1">
      <w:start w:val="1"/>
      <w:numFmt w:val="bullet"/>
      <w:lvlText w:val=""/>
      <w:lvlJc w:val="left"/>
      <w:pPr>
        <w:ind w:left="3639" w:hanging="360"/>
      </w:pPr>
      <w:rPr>
        <w:rFonts w:ascii="Wingdings" w:hAnsi="Wingdings" w:hint="default"/>
      </w:rPr>
    </w:lvl>
    <w:lvl w:ilvl="3" w:tplc="08090001" w:tentative="1">
      <w:start w:val="1"/>
      <w:numFmt w:val="bullet"/>
      <w:lvlText w:val=""/>
      <w:lvlJc w:val="left"/>
      <w:pPr>
        <w:ind w:left="4359" w:hanging="360"/>
      </w:pPr>
      <w:rPr>
        <w:rFonts w:ascii="Symbol" w:hAnsi="Symbol" w:hint="default"/>
      </w:rPr>
    </w:lvl>
    <w:lvl w:ilvl="4" w:tplc="08090003" w:tentative="1">
      <w:start w:val="1"/>
      <w:numFmt w:val="bullet"/>
      <w:lvlText w:val="o"/>
      <w:lvlJc w:val="left"/>
      <w:pPr>
        <w:ind w:left="5079" w:hanging="360"/>
      </w:pPr>
      <w:rPr>
        <w:rFonts w:ascii="Courier New" w:hAnsi="Courier New" w:cs="Courier New" w:hint="default"/>
      </w:rPr>
    </w:lvl>
    <w:lvl w:ilvl="5" w:tplc="08090005" w:tentative="1">
      <w:start w:val="1"/>
      <w:numFmt w:val="bullet"/>
      <w:lvlText w:val=""/>
      <w:lvlJc w:val="left"/>
      <w:pPr>
        <w:ind w:left="5799" w:hanging="360"/>
      </w:pPr>
      <w:rPr>
        <w:rFonts w:ascii="Wingdings" w:hAnsi="Wingdings" w:hint="default"/>
      </w:rPr>
    </w:lvl>
    <w:lvl w:ilvl="6" w:tplc="08090001" w:tentative="1">
      <w:start w:val="1"/>
      <w:numFmt w:val="bullet"/>
      <w:lvlText w:val=""/>
      <w:lvlJc w:val="left"/>
      <w:pPr>
        <w:ind w:left="6519" w:hanging="360"/>
      </w:pPr>
      <w:rPr>
        <w:rFonts w:ascii="Symbol" w:hAnsi="Symbol" w:hint="default"/>
      </w:rPr>
    </w:lvl>
    <w:lvl w:ilvl="7" w:tplc="08090003" w:tentative="1">
      <w:start w:val="1"/>
      <w:numFmt w:val="bullet"/>
      <w:lvlText w:val="o"/>
      <w:lvlJc w:val="left"/>
      <w:pPr>
        <w:ind w:left="7239" w:hanging="360"/>
      </w:pPr>
      <w:rPr>
        <w:rFonts w:ascii="Courier New" w:hAnsi="Courier New" w:cs="Courier New" w:hint="default"/>
      </w:rPr>
    </w:lvl>
    <w:lvl w:ilvl="8" w:tplc="08090005" w:tentative="1">
      <w:start w:val="1"/>
      <w:numFmt w:val="bullet"/>
      <w:lvlText w:val=""/>
      <w:lvlJc w:val="left"/>
      <w:pPr>
        <w:ind w:left="7959" w:hanging="360"/>
      </w:pPr>
      <w:rPr>
        <w:rFonts w:ascii="Wingdings" w:hAnsi="Wingdings" w:hint="default"/>
      </w:rPr>
    </w:lvl>
  </w:abstractNum>
  <w:abstractNum w:abstractNumId="175" w15:restartNumberingAfterBreak="0">
    <w:nsid w:val="6C97368D"/>
    <w:multiLevelType w:val="singleLevel"/>
    <w:tmpl w:val="F40CF894"/>
    <w:lvl w:ilvl="0">
      <w:start w:val="1"/>
      <w:numFmt w:val="bullet"/>
      <w:lvlText w:val=""/>
      <w:lvlJc w:val="left"/>
      <w:pPr>
        <w:ind w:left="720" w:hanging="360"/>
      </w:pPr>
      <w:rPr>
        <w:rFonts w:ascii="Symbol" w:hAnsi="Symbol" w:hint="default"/>
      </w:rPr>
    </w:lvl>
  </w:abstractNum>
  <w:abstractNum w:abstractNumId="176" w15:restartNumberingAfterBreak="0">
    <w:nsid w:val="6FB533E4"/>
    <w:multiLevelType w:val="hybridMultilevel"/>
    <w:tmpl w:val="DBA4CF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7" w15:restartNumberingAfterBreak="0">
    <w:nsid w:val="70565428"/>
    <w:multiLevelType w:val="singleLevel"/>
    <w:tmpl w:val="9D9862BA"/>
    <w:lvl w:ilvl="0">
      <w:start w:val="1"/>
      <w:numFmt w:val="bullet"/>
      <w:lvlText w:val=""/>
      <w:lvlJc w:val="left"/>
      <w:pPr>
        <w:ind w:left="360" w:hanging="360"/>
      </w:pPr>
      <w:rPr>
        <w:rFonts w:ascii="Symbol" w:hAnsi="Symbol" w:hint="default"/>
      </w:rPr>
    </w:lvl>
  </w:abstractNum>
  <w:abstractNum w:abstractNumId="178" w15:restartNumberingAfterBreak="0">
    <w:nsid w:val="71772D54"/>
    <w:multiLevelType w:val="singleLevel"/>
    <w:tmpl w:val="F8C4FED2"/>
    <w:lvl w:ilvl="0">
      <w:start w:val="1"/>
      <w:numFmt w:val="bullet"/>
      <w:lvlText w:val=""/>
      <w:lvlJc w:val="left"/>
      <w:pPr>
        <w:ind w:left="720" w:hanging="360"/>
      </w:pPr>
      <w:rPr>
        <w:rFonts w:ascii="Symbol" w:hAnsi="Symbol" w:hint="default"/>
      </w:rPr>
    </w:lvl>
  </w:abstractNum>
  <w:abstractNum w:abstractNumId="179" w15:restartNumberingAfterBreak="0">
    <w:nsid w:val="71C01349"/>
    <w:multiLevelType w:val="singleLevel"/>
    <w:tmpl w:val="3878A8A0"/>
    <w:lvl w:ilvl="0">
      <w:start w:val="1"/>
      <w:numFmt w:val="bullet"/>
      <w:lvlText w:val=""/>
      <w:lvlJc w:val="left"/>
      <w:pPr>
        <w:ind w:left="720" w:hanging="360"/>
      </w:pPr>
      <w:rPr>
        <w:rFonts w:ascii="Symbol" w:hAnsi="Symbol" w:hint="default"/>
      </w:rPr>
    </w:lvl>
  </w:abstractNum>
  <w:abstractNum w:abstractNumId="180" w15:restartNumberingAfterBreak="0">
    <w:nsid w:val="72B90382"/>
    <w:multiLevelType w:val="singleLevel"/>
    <w:tmpl w:val="0A2EE708"/>
    <w:lvl w:ilvl="0">
      <w:start w:val="1"/>
      <w:numFmt w:val="bullet"/>
      <w:lvlText w:val=""/>
      <w:lvlJc w:val="left"/>
      <w:pPr>
        <w:ind w:left="360" w:hanging="360"/>
      </w:pPr>
      <w:rPr>
        <w:rFonts w:ascii="Symbol" w:hAnsi="Symbol" w:hint="default"/>
      </w:rPr>
    </w:lvl>
  </w:abstractNum>
  <w:abstractNum w:abstractNumId="181" w15:restartNumberingAfterBreak="0">
    <w:nsid w:val="73B94C65"/>
    <w:multiLevelType w:val="singleLevel"/>
    <w:tmpl w:val="5E00925E"/>
    <w:lvl w:ilvl="0">
      <w:start w:val="1"/>
      <w:numFmt w:val="bullet"/>
      <w:lvlText w:val=""/>
      <w:lvlJc w:val="left"/>
      <w:pPr>
        <w:ind w:left="720" w:hanging="360"/>
      </w:pPr>
      <w:rPr>
        <w:rFonts w:ascii="Symbol" w:hAnsi="Symbol" w:hint="default"/>
      </w:rPr>
    </w:lvl>
  </w:abstractNum>
  <w:abstractNum w:abstractNumId="182" w15:restartNumberingAfterBreak="0">
    <w:nsid w:val="748A1C1D"/>
    <w:multiLevelType w:val="singleLevel"/>
    <w:tmpl w:val="AE14D300"/>
    <w:lvl w:ilvl="0">
      <w:start w:val="1"/>
      <w:numFmt w:val="bullet"/>
      <w:lvlText w:val=""/>
      <w:lvlJc w:val="left"/>
      <w:pPr>
        <w:ind w:left="720" w:hanging="360"/>
      </w:pPr>
      <w:rPr>
        <w:rFonts w:ascii="Symbol" w:hAnsi="Symbol" w:hint="default"/>
      </w:rPr>
    </w:lvl>
  </w:abstractNum>
  <w:abstractNum w:abstractNumId="183" w15:restartNumberingAfterBreak="0">
    <w:nsid w:val="74B63EED"/>
    <w:multiLevelType w:val="singleLevel"/>
    <w:tmpl w:val="E24C097C"/>
    <w:lvl w:ilvl="0">
      <w:start w:val="1"/>
      <w:numFmt w:val="bullet"/>
      <w:lvlText w:val=""/>
      <w:lvlJc w:val="left"/>
      <w:pPr>
        <w:ind w:left="720" w:hanging="360"/>
      </w:pPr>
      <w:rPr>
        <w:rFonts w:ascii="Symbol" w:hAnsi="Symbol" w:hint="default"/>
      </w:rPr>
    </w:lvl>
  </w:abstractNum>
  <w:abstractNum w:abstractNumId="184" w15:restartNumberingAfterBreak="0">
    <w:nsid w:val="75C97332"/>
    <w:multiLevelType w:val="singleLevel"/>
    <w:tmpl w:val="3E328A9E"/>
    <w:lvl w:ilvl="0">
      <w:start w:val="1"/>
      <w:numFmt w:val="bullet"/>
      <w:lvlText w:val=""/>
      <w:lvlJc w:val="left"/>
      <w:pPr>
        <w:ind w:left="360" w:hanging="360"/>
      </w:pPr>
      <w:rPr>
        <w:rFonts w:ascii="Symbol" w:hAnsi="Symbol" w:hint="default"/>
      </w:rPr>
    </w:lvl>
  </w:abstractNum>
  <w:abstractNum w:abstractNumId="185" w15:restartNumberingAfterBreak="0">
    <w:nsid w:val="77595F40"/>
    <w:multiLevelType w:val="hybridMultilevel"/>
    <w:tmpl w:val="BFE8ACA2"/>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86" w15:restartNumberingAfterBreak="0">
    <w:nsid w:val="77C065D2"/>
    <w:multiLevelType w:val="singleLevel"/>
    <w:tmpl w:val="AE14D300"/>
    <w:lvl w:ilvl="0">
      <w:start w:val="1"/>
      <w:numFmt w:val="bullet"/>
      <w:lvlText w:val=""/>
      <w:lvlJc w:val="left"/>
      <w:pPr>
        <w:ind w:left="720" w:hanging="360"/>
      </w:pPr>
      <w:rPr>
        <w:rFonts w:ascii="Symbol" w:hAnsi="Symbol" w:hint="default"/>
      </w:rPr>
    </w:lvl>
  </w:abstractNum>
  <w:abstractNum w:abstractNumId="187" w15:restartNumberingAfterBreak="0">
    <w:nsid w:val="78482EAF"/>
    <w:multiLevelType w:val="singleLevel"/>
    <w:tmpl w:val="F55A07DC"/>
    <w:lvl w:ilvl="0">
      <w:start w:val="1"/>
      <w:numFmt w:val="bullet"/>
      <w:lvlText w:val=""/>
      <w:lvlJc w:val="left"/>
      <w:pPr>
        <w:ind w:left="720" w:hanging="360"/>
      </w:pPr>
      <w:rPr>
        <w:rFonts w:ascii="Symbol" w:hAnsi="Symbol" w:hint="default"/>
      </w:rPr>
    </w:lvl>
  </w:abstractNum>
  <w:abstractNum w:abstractNumId="188" w15:restartNumberingAfterBreak="0">
    <w:nsid w:val="78B32EE6"/>
    <w:multiLevelType w:val="singleLevel"/>
    <w:tmpl w:val="8286C518"/>
    <w:lvl w:ilvl="0">
      <w:start w:val="1"/>
      <w:numFmt w:val="bullet"/>
      <w:lvlText w:val=""/>
      <w:lvlJc w:val="left"/>
      <w:pPr>
        <w:ind w:left="720" w:hanging="360"/>
      </w:pPr>
      <w:rPr>
        <w:rFonts w:ascii="Symbol" w:hAnsi="Symbol" w:hint="default"/>
      </w:rPr>
    </w:lvl>
  </w:abstractNum>
  <w:abstractNum w:abstractNumId="189" w15:restartNumberingAfterBreak="0">
    <w:nsid w:val="78D308A6"/>
    <w:multiLevelType w:val="singleLevel"/>
    <w:tmpl w:val="0966E606"/>
    <w:lvl w:ilvl="0">
      <w:start w:val="1"/>
      <w:numFmt w:val="bullet"/>
      <w:lvlText w:val=""/>
      <w:lvlJc w:val="left"/>
      <w:pPr>
        <w:ind w:left="798" w:hanging="360"/>
      </w:pPr>
      <w:rPr>
        <w:rFonts w:ascii="Symbol" w:hAnsi="Symbol" w:hint="default"/>
      </w:rPr>
    </w:lvl>
  </w:abstractNum>
  <w:abstractNum w:abstractNumId="190" w15:restartNumberingAfterBreak="0">
    <w:nsid w:val="79045656"/>
    <w:multiLevelType w:val="singleLevel"/>
    <w:tmpl w:val="C086728C"/>
    <w:lvl w:ilvl="0">
      <w:start w:val="1"/>
      <w:numFmt w:val="bullet"/>
      <w:lvlText w:val=""/>
      <w:lvlJc w:val="left"/>
      <w:pPr>
        <w:ind w:left="786" w:hanging="360"/>
      </w:pPr>
      <w:rPr>
        <w:rFonts w:ascii="Symbol" w:hAnsi="Symbol" w:hint="default"/>
      </w:rPr>
    </w:lvl>
  </w:abstractNum>
  <w:abstractNum w:abstractNumId="191" w15:restartNumberingAfterBreak="0">
    <w:nsid w:val="79241AA2"/>
    <w:multiLevelType w:val="singleLevel"/>
    <w:tmpl w:val="F60492F0"/>
    <w:lvl w:ilvl="0">
      <w:start w:val="1"/>
      <w:numFmt w:val="bullet"/>
      <w:lvlText w:val=""/>
      <w:lvlJc w:val="left"/>
      <w:pPr>
        <w:ind w:left="720" w:hanging="360"/>
      </w:pPr>
      <w:rPr>
        <w:rFonts w:ascii="Symbol" w:hAnsi="Symbol" w:hint="default"/>
      </w:rPr>
    </w:lvl>
  </w:abstractNum>
  <w:abstractNum w:abstractNumId="192" w15:restartNumberingAfterBreak="0">
    <w:nsid w:val="79700A70"/>
    <w:multiLevelType w:val="singleLevel"/>
    <w:tmpl w:val="529CA292"/>
    <w:lvl w:ilvl="0">
      <w:start w:val="1"/>
      <w:numFmt w:val="bullet"/>
      <w:lvlText w:val=""/>
      <w:lvlJc w:val="left"/>
      <w:pPr>
        <w:ind w:left="1080" w:hanging="360"/>
      </w:pPr>
      <w:rPr>
        <w:rFonts w:ascii="Symbol" w:hAnsi="Symbol" w:hint="default"/>
      </w:rPr>
    </w:lvl>
  </w:abstractNum>
  <w:abstractNum w:abstractNumId="193" w15:restartNumberingAfterBreak="0">
    <w:nsid w:val="7B070072"/>
    <w:multiLevelType w:val="singleLevel"/>
    <w:tmpl w:val="0966E606"/>
    <w:lvl w:ilvl="0">
      <w:start w:val="1"/>
      <w:numFmt w:val="bullet"/>
      <w:lvlText w:val=""/>
      <w:lvlJc w:val="left"/>
      <w:pPr>
        <w:ind w:left="798" w:hanging="360"/>
      </w:pPr>
      <w:rPr>
        <w:rFonts w:ascii="Symbol" w:hAnsi="Symbol" w:hint="default"/>
      </w:rPr>
    </w:lvl>
  </w:abstractNum>
  <w:abstractNum w:abstractNumId="194" w15:restartNumberingAfterBreak="0">
    <w:nsid w:val="7B472D4C"/>
    <w:multiLevelType w:val="hybridMultilevel"/>
    <w:tmpl w:val="ECA29264"/>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95" w15:restartNumberingAfterBreak="0">
    <w:nsid w:val="7B7E6F9D"/>
    <w:multiLevelType w:val="hybridMultilevel"/>
    <w:tmpl w:val="237467A0"/>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96" w15:restartNumberingAfterBreak="0">
    <w:nsid w:val="7B900759"/>
    <w:multiLevelType w:val="singleLevel"/>
    <w:tmpl w:val="21646566"/>
    <w:lvl w:ilvl="0">
      <w:start w:val="1"/>
      <w:numFmt w:val="bullet"/>
      <w:lvlText w:val=""/>
      <w:lvlJc w:val="left"/>
      <w:pPr>
        <w:ind w:left="720" w:hanging="360"/>
      </w:pPr>
      <w:rPr>
        <w:rFonts w:ascii="Symbol" w:hAnsi="Symbol" w:hint="default"/>
      </w:rPr>
    </w:lvl>
  </w:abstractNum>
  <w:abstractNum w:abstractNumId="197" w15:restartNumberingAfterBreak="0">
    <w:nsid w:val="7C1D31B3"/>
    <w:multiLevelType w:val="hybridMultilevel"/>
    <w:tmpl w:val="A6FC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C4F381C"/>
    <w:multiLevelType w:val="hybridMultilevel"/>
    <w:tmpl w:val="9D9862B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9" w15:restartNumberingAfterBreak="0">
    <w:nsid w:val="7C8D05B0"/>
    <w:multiLevelType w:val="hybridMultilevel"/>
    <w:tmpl w:val="C086728C"/>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00" w15:restartNumberingAfterBreak="0">
    <w:nsid w:val="7CC3214F"/>
    <w:multiLevelType w:val="singleLevel"/>
    <w:tmpl w:val="3878A8A0"/>
    <w:lvl w:ilvl="0">
      <w:start w:val="1"/>
      <w:numFmt w:val="bullet"/>
      <w:lvlText w:val=""/>
      <w:lvlJc w:val="left"/>
      <w:pPr>
        <w:ind w:left="720" w:hanging="360"/>
      </w:pPr>
      <w:rPr>
        <w:rFonts w:ascii="Symbol" w:hAnsi="Symbol" w:hint="default"/>
      </w:rPr>
    </w:lvl>
  </w:abstractNum>
  <w:abstractNum w:abstractNumId="201" w15:restartNumberingAfterBreak="0">
    <w:nsid w:val="7E2D6B4B"/>
    <w:multiLevelType w:val="singleLevel"/>
    <w:tmpl w:val="21646566"/>
    <w:lvl w:ilvl="0">
      <w:start w:val="1"/>
      <w:numFmt w:val="bullet"/>
      <w:lvlText w:val=""/>
      <w:lvlJc w:val="left"/>
      <w:pPr>
        <w:ind w:left="720" w:hanging="360"/>
      </w:pPr>
      <w:rPr>
        <w:rFonts w:ascii="Symbol" w:hAnsi="Symbol" w:hint="default"/>
      </w:rPr>
    </w:lvl>
  </w:abstractNum>
  <w:abstractNum w:abstractNumId="202" w15:restartNumberingAfterBreak="0">
    <w:nsid w:val="7F193654"/>
    <w:multiLevelType w:val="hybridMultilevel"/>
    <w:tmpl w:val="23E21DBC"/>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203" w15:restartNumberingAfterBreak="0">
    <w:nsid w:val="7F466F2B"/>
    <w:multiLevelType w:val="singleLevel"/>
    <w:tmpl w:val="3878A8A0"/>
    <w:lvl w:ilvl="0">
      <w:start w:val="1"/>
      <w:numFmt w:val="bullet"/>
      <w:lvlText w:val=""/>
      <w:lvlJc w:val="left"/>
      <w:pPr>
        <w:ind w:left="720" w:hanging="360"/>
      </w:pPr>
      <w:rPr>
        <w:rFonts w:ascii="Symbol" w:hAnsi="Symbol" w:hint="default"/>
      </w:rPr>
    </w:lvl>
  </w:abstractNum>
  <w:abstractNum w:abstractNumId="204" w15:restartNumberingAfterBreak="0">
    <w:nsid w:val="7FB805CD"/>
    <w:multiLevelType w:val="singleLevel"/>
    <w:tmpl w:val="21646566"/>
    <w:lvl w:ilvl="0">
      <w:start w:val="1"/>
      <w:numFmt w:val="bullet"/>
      <w:lvlText w:val=""/>
      <w:lvlJc w:val="left"/>
      <w:pPr>
        <w:ind w:left="720" w:hanging="360"/>
      </w:pPr>
      <w:rPr>
        <w:rFonts w:ascii="Symbol" w:hAnsi="Symbol" w:hint="default"/>
      </w:rPr>
    </w:lvl>
  </w:abstractNum>
  <w:abstractNum w:abstractNumId="205" w15:restartNumberingAfterBreak="0">
    <w:nsid w:val="7FBE7AC3"/>
    <w:multiLevelType w:val="singleLevel"/>
    <w:tmpl w:val="C3342E9C"/>
    <w:lvl w:ilvl="0">
      <w:start w:val="1"/>
      <w:numFmt w:val="bullet"/>
      <w:lvlText w:val=""/>
      <w:lvlJc w:val="left"/>
      <w:pPr>
        <w:ind w:left="798" w:hanging="360"/>
      </w:pPr>
      <w:rPr>
        <w:rFonts w:ascii="Symbol" w:hAnsi="Symbol" w:hint="default"/>
      </w:rPr>
    </w:lvl>
  </w:abstractNum>
  <w:num w:numId="1">
    <w:abstractNumId w:val="0"/>
  </w:num>
  <w:num w:numId="2">
    <w:abstractNumId w:val="128"/>
  </w:num>
  <w:num w:numId="3">
    <w:abstractNumId w:val="47"/>
  </w:num>
  <w:num w:numId="4">
    <w:abstractNumId w:val="42"/>
  </w:num>
  <w:num w:numId="5">
    <w:abstractNumId w:val="13"/>
  </w:num>
  <w:num w:numId="6">
    <w:abstractNumId w:val="156"/>
  </w:num>
  <w:num w:numId="7">
    <w:abstractNumId w:val="138"/>
  </w:num>
  <w:num w:numId="8">
    <w:abstractNumId w:val="155"/>
  </w:num>
  <w:num w:numId="9">
    <w:abstractNumId w:val="163"/>
  </w:num>
  <w:num w:numId="10">
    <w:abstractNumId w:val="62"/>
  </w:num>
  <w:num w:numId="11">
    <w:abstractNumId w:val="38"/>
  </w:num>
  <w:num w:numId="12">
    <w:abstractNumId w:val="166"/>
  </w:num>
  <w:num w:numId="13">
    <w:abstractNumId w:val="113"/>
  </w:num>
  <w:num w:numId="14">
    <w:abstractNumId w:val="131"/>
  </w:num>
  <w:num w:numId="15">
    <w:abstractNumId w:val="167"/>
  </w:num>
  <w:num w:numId="16">
    <w:abstractNumId w:val="116"/>
  </w:num>
  <w:num w:numId="17">
    <w:abstractNumId w:val="52"/>
  </w:num>
  <w:num w:numId="18">
    <w:abstractNumId w:val="152"/>
  </w:num>
  <w:num w:numId="19">
    <w:abstractNumId w:val="104"/>
  </w:num>
  <w:num w:numId="20">
    <w:abstractNumId w:val="161"/>
  </w:num>
  <w:num w:numId="21">
    <w:abstractNumId w:val="65"/>
  </w:num>
  <w:num w:numId="22">
    <w:abstractNumId w:val="144"/>
  </w:num>
  <w:num w:numId="23">
    <w:abstractNumId w:val="112"/>
  </w:num>
  <w:num w:numId="24">
    <w:abstractNumId w:val="53"/>
  </w:num>
  <w:num w:numId="25">
    <w:abstractNumId w:val="23"/>
  </w:num>
  <w:num w:numId="26">
    <w:abstractNumId w:val="110"/>
  </w:num>
  <w:num w:numId="27">
    <w:abstractNumId w:val="72"/>
  </w:num>
  <w:num w:numId="28">
    <w:abstractNumId w:val="174"/>
  </w:num>
  <w:num w:numId="29">
    <w:abstractNumId w:val="197"/>
  </w:num>
  <w:num w:numId="30">
    <w:abstractNumId w:val="159"/>
  </w:num>
  <w:num w:numId="31">
    <w:abstractNumId w:val="7"/>
  </w:num>
  <w:num w:numId="32">
    <w:abstractNumId w:val="99"/>
  </w:num>
  <w:num w:numId="33">
    <w:abstractNumId w:val="150"/>
  </w:num>
  <w:num w:numId="34">
    <w:abstractNumId w:val="61"/>
  </w:num>
  <w:num w:numId="35">
    <w:abstractNumId w:val="195"/>
  </w:num>
  <w:num w:numId="36">
    <w:abstractNumId w:val="141"/>
  </w:num>
  <w:num w:numId="37">
    <w:abstractNumId w:val="67"/>
  </w:num>
  <w:num w:numId="38">
    <w:abstractNumId w:val="96"/>
  </w:num>
  <w:num w:numId="39">
    <w:abstractNumId w:val="10"/>
  </w:num>
  <w:num w:numId="40">
    <w:abstractNumId w:val="50"/>
  </w:num>
  <w:num w:numId="41">
    <w:abstractNumId w:val="83"/>
  </w:num>
  <w:num w:numId="42">
    <w:abstractNumId w:val="36"/>
  </w:num>
  <w:num w:numId="43">
    <w:abstractNumId w:val="87"/>
  </w:num>
  <w:num w:numId="44">
    <w:abstractNumId w:val="18"/>
  </w:num>
  <w:num w:numId="45">
    <w:abstractNumId w:val="145"/>
  </w:num>
  <w:num w:numId="46">
    <w:abstractNumId w:val="59"/>
  </w:num>
  <w:num w:numId="47">
    <w:abstractNumId w:val="84"/>
  </w:num>
  <w:num w:numId="48">
    <w:abstractNumId w:val="117"/>
  </w:num>
  <w:num w:numId="49">
    <w:abstractNumId w:val="98"/>
  </w:num>
  <w:num w:numId="50">
    <w:abstractNumId w:val="169"/>
  </w:num>
  <w:num w:numId="51">
    <w:abstractNumId w:val="198"/>
  </w:num>
  <w:num w:numId="52">
    <w:abstractNumId w:val="4"/>
  </w:num>
  <w:num w:numId="53">
    <w:abstractNumId w:val="185"/>
  </w:num>
  <w:num w:numId="54">
    <w:abstractNumId w:val="202"/>
  </w:num>
  <w:num w:numId="55">
    <w:abstractNumId w:val="134"/>
  </w:num>
  <w:num w:numId="56">
    <w:abstractNumId w:val="27"/>
  </w:num>
  <w:num w:numId="57">
    <w:abstractNumId w:val="176"/>
  </w:num>
  <w:num w:numId="58">
    <w:abstractNumId w:val="77"/>
  </w:num>
  <w:num w:numId="59">
    <w:abstractNumId w:val="199"/>
  </w:num>
  <w:num w:numId="60">
    <w:abstractNumId w:val="85"/>
  </w:num>
  <w:num w:numId="61">
    <w:abstractNumId w:val="194"/>
  </w:num>
  <w:num w:numId="62">
    <w:abstractNumId w:val="129"/>
  </w:num>
  <w:num w:numId="63">
    <w:abstractNumId w:val="57"/>
  </w:num>
  <w:num w:numId="64">
    <w:abstractNumId w:val="12"/>
  </w:num>
  <w:num w:numId="65">
    <w:abstractNumId w:val="26"/>
  </w:num>
  <w:num w:numId="66">
    <w:abstractNumId w:val="17"/>
  </w:num>
  <w:num w:numId="67">
    <w:abstractNumId w:val="90"/>
  </w:num>
  <w:num w:numId="68">
    <w:abstractNumId w:val="1"/>
  </w:num>
  <w:num w:numId="69">
    <w:abstractNumId w:val="66"/>
  </w:num>
  <w:num w:numId="70">
    <w:abstractNumId w:val="115"/>
  </w:num>
  <w:num w:numId="71">
    <w:abstractNumId w:val="109"/>
  </w:num>
  <w:num w:numId="72">
    <w:abstractNumId w:val="181"/>
  </w:num>
  <w:num w:numId="73">
    <w:abstractNumId w:val="157"/>
  </w:num>
  <w:num w:numId="74">
    <w:abstractNumId w:val="105"/>
  </w:num>
  <w:num w:numId="75">
    <w:abstractNumId w:val="9"/>
  </w:num>
  <w:num w:numId="76">
    <w:abstractNumId w:val="58"/>
  </w:num>
  <w:num w:numId="77">
    <w:abstractNumId w:val="20"/>
  </w:num>
  <w:num w:numId="78">
    <w:abstractNumId w:val="64"/>
  </w:num>
  <w:num w:numId="79">
    <w:abstractNumId w:val="103"/>
  </w:num>
  <w:num w:numId="80">
    <w:abstractNumId w:val="120"/>
  </w:num>
  <w:num w:numId="81">
    <w:abstractNumId w:val="111"/>
  </w:num>
  <w:num w:numId="82">
    <w:abstractNumId w:val="40"/>
  </w:num>
  <w:num w:numId="83">
    <w:abstractNumId w:val="175"/>
  </w:num>
  <w:num w:numId="84">
    <w:abstractNumId w:val="136"/>
  </w:num>
  <w:num w:numId="85">
    <w:abstractNumId w:val="188"/>
  </w:num>
  <w:num w:numId="86">
    <w:abstractNumId w:val="5"/>
  </w:num>
  <w:num w:numId="87">
    <w:abstractNumId w:val="119"/>
  </w:num>
  <w:num w:numId="88">
    <w:abstractNumId w:val="11"/>
  </w:num>
  <w:num w:numId="89">
    <w:abstractNumId w:val="97"/>
  </w:num>
  <w:num w:numId="90">
    <w:abstractNumId w:val="82"/>
  </w:num>
  <w:num w:numId="91">
    <w:abstractNumId w:val="173"/>
  </w:num>
  <w:num w:numId="92">
    <w:abstractNumId w:val="22"/>
  </w:num>
  <w:num w:numId="93">
    <w:abstractNumId w:val="143"/>
  </w:num>
  <w:num w:numId="94">
    <w:abstractNumId w:val="151"/>
  </w:num>
  <w:num w:numId="95">
    <w:abstractNumId w:val="146"/>
  </w:num>
  <w:num w:numId="96">
    <w:abstractNumId w:val="130"/>
  </w:num>
  <w:num w:numId="97">
    <w:abstractNumId w:val="140"/>
  </w:num>
  <w:num w:numId="98">
    <w:abstractNumId w:val="132"/>
  </w:num>
  <w:num w:numId="99">
    <w:abstractNumId w:val="19"/>
  </w:num>
  <w:num w:numId="100">
    <w:abstractNumId w:val="201"/>
  </w:num>
  <w:num w:numId="101">
    <w:abstractNumId w:val="204"/>
  </w:num>
  <w:num w:numId="102">
    <w:abstractNumId w:val="14"/>
  </w:num>
  <w:num w:numId="103">
    <w:abstractNumId w:val="196"/>
  </w:num>
  <w:num w:numId="104">
    <w:abstractNumId w:val="39"/>
  </w:num>
  <w:num w:numId="105">
    <w:abstractNumId w:val="24"/>
  </w:num>
  <w:num w:numId="106">
    <w:abstractNumId w:val="8"/>
  </w:num>
  <w:num w:numId="107">
    <w:abstractNumId w:val="37"/>
  </w:num>
  <w:num w:numId="108">
    <w:abstractNumId w:val="162"/>
  </w:num>
  <w:num w:numId="109">
    <w:abstractNumId w:val="46"/>
  </w:num>
  <w:num w:numId="110">
    <w:abstractNumId w:val="69"/>
  </w:num>
  <w:num w:numId="111">
    <w:abstractNumId w:val="75"/>
  </w:num>
  <w:num w:numId="112">
    <w:abstractNumId w:val="93"/>
  </w:num>
  <w:num w:numId="113">
    <w:abstractNumId w:val="60"/>
  </w:num>
  <w:num w:numId="114">
    <w:abstractNumId w:val="180"/>
  </w:num>
  <w:num w:numId="115">
    <w:abstractNumId w:val="106"/>
  </w:num>
  <w:num w:numId="116">
    <w:abstractNumId w:val="94"/>
  </w:num>
  <w:num w:numId="117">
    <w:abstractNumId w:val="101"/>
  </w:num>
  <w:num w:numId="118">
    <w:abstractNumId w:val="135"/>
  </w:num>
  <w:num w:numId="119">
    <w:abstractNumId w:val="125"/>
  </w:num>
  <w:num w:numId="120">
    <w:abstractNumId w:val="137"/>
  </w:num>
  <w:num w:numId="121">
    <w:abstractNumId w:val="28"/>
  </w:num>
  <w:num w:numId="122">
    <w:abstractNumId w:val="154"/>
  </w:num>
  <w:num w:numId="123">
    <w:abstractNumId w:val="15"/>
  </w:num>
  <w:num w:numId="124">
    <w:abstractNumId w:val="160"/>
  </w:num>
  <w:num w:numId="125">
    <w:abstractNumId w:val="183"/>
  </w:num>
  <w:num w:numId="126">
    <w:abstractNumId w:val="187"/>
  </w:num>
  <w:num w:numId="127">
    <w:abstractNumId w:val="71"/>
  </w:num>
  <w:num w:numId="128">
    <w:abstractNumId w:val="68"/>
  </w:num>
  <w:num w:numId="129">
    <w:abstractNumId w:val="126"/>
  </w:num>
  <w:num w:numId="130">
    <w:abstractNumId w:val="107"/>
  </w:num>
  <w:num w:numId="131">
    <w:abstractNumId w:val="74"/>
  </w:num>
  <w:num w:numId="132">
    <w:abstractNumId w:val="142"/>
  </w:num>
  <w:num w:numId="133">
    <w:abstractNumId w:val="127"/>
  </w:num>
  <w:num w:numId="134">
    <w:abstractNumId w:val="51"/>
  </w:num>
  <w:num w:numId="135">
    <w:abstractNumId w:val="43"/>
  </w:num>
  <w:num w:numId="136">
    <w:abstractNumId w:val="165"/>
  </w:num>
  <w:num w:numId="137">
    <w:abstractNumId w:val="34"/>
  </w:num>
  <w:num w:numId="138">
    <w:abstractNumId w:val="49"/>
  </w:num>
  <w:num w:numId="139">
    <w:abstractNumId w:val="168"/>
  </w:num>
  <w:num w:numId="140">
    <w:abstractNumId w:val="56"/>
  </w:num>
  <w:num w:numId="141">
    <w:abstractNumId w:val="192"/>
  </w:num>
  <w:num w:numId="142">
    <w:abstractNumId w:val="123"/>
  </w:num>
  <w:num w:numId="143">
    <w:abstractNumId w:val="121"/>
  </w:num>
  <w:num w:numId="144">
    <w:abstractNumId w:val="184"/>
  </w:num>
  <w:num w:numId="145">
    <w:abstractNumId w:val="148"/>
  </w:num>
  <w:num w:numId="146">
    <w:abstractNumId w:val="76"/>
  </w:num>
  <w:num w:numId="147">
    <w:abstractNumId w:val="33"/>
  </w:num>
  <w:num w:numId="148">
    <w:abstractNumId w:val="44"/>
  </w:num>
  <w:num w:numId="149">
    <w:abstractNumId w:val="124"/>
  </w:num>
  <w:num w:numId="150">
    <w:abstractNumId w:val="95"/>
  </w:num>
  <w:num w:numId="151">
    <w:abstractNumId w:val="108"/>
  </w:num>
  <w:num w:numId="152">
    <w:abstractNumId w:val="88"/>
  </w:num>
  <w:num w:numId="153">
    <w:abstractNumId w:val="81"/>
  </w:num>
  <w:num w:numId="154">
    <w:abstractNumId w:val="70"/>
  </w:num>
  <w:num w:numId="155">
    <w:abstractNumId w:val="89"/>
  </w:num>
  <w:num w:numId="156">
    <w:abstractNumId w:val="149"/>
  </w:num>
  <w:num w:numId="157">
    <w:abstractNumId w:val="191"/>
  </w:num>
  <w:num w:numId="158">
    <w:abstractNumId w:val="92"/>
  </w:num>
  <w:num w:numId="159">
    <w:abstractNumId w:val="177"/>
  </w:num>
  <w:num w:numId="160">
    <w:abstractNumId w:val="29"/>
  </w:num>
  <w:num w:numId="161">
    <w:abstractNumId w:val="2"/>
  </w:num>
  <w:num w:numId="162">
    <w:abstractNumId w:val="118"/>
  </w:num>
  <w:num w:numId="163">
    <w:abstractNumId w:val="122"/>
  </w:num>
  <w:num w:numId="164">
    <w:abstractNumId w:val="153"/>
  </w:num>
  <w:num w:numId="165">
    <w:abstractNumId w:val="171"/>
  </w:num>
  <w:num w:numId="166">
    <w:abstractNumId w:val="205"/>
  </w:num>
  <w:num w:numId="167">
    <w:abstractNumId w:val="32"/>
  </w:num>
  <w:num w:numId="168">
    <w:abstractNumId w:val="16"/>
  </w:num>
  <w:num w:numId="169">
    <w:abstractNumId w:val="45"/>
  </w:num>
  <w:num w:numId="170">
    <w:abstractNumId w:val="170"/>
  </w:num>
  <w:num w:numId="171">
    <w:abstractNumId w:val="189"/>
  </w:num>
  <w:num w:numId="172">
    <w:abstractNumId w:val="193"/>
  </w:num>
  <w:num w:numId="173">
    <w:abstractNumId w:val="133"/>
  </w:num>
  <w:num w:numId="174">
    <w:abstractNumId w:val="100"/>
  </w:num>
  <w:num w:numId="175">
    <w:abstractNumId w:val="3"/>
  </w:num>
  <w:num w:numId="176">
    <w:abstractNumId w:val="41"/>
  </w:num>
  <w:num w:numId="177">
    <w:abstractNumId w:val="78"/>
  </w:num>
  <w:num w:numId="178">
    <w:abstractNumId w:val="30"/>
  </w:num>
  <w:num w:numId="179">
    <w:abstractNumId w:val="35"/>
  </w:num>
  <w:num w:numId="180">
    <w:abstractNumId w:val="21"/>
  </w:num>
  <w:num w:numId="181">
    <w:abstractNumId w:val="86"/>
  </w:num>
  <w:num w:numId="182">
    <w:abstractNumId w:val="25"/>
  </w:num>
  <w:num w:numId="183">
    <w:abstractNumId w:val="190"/>
  </w:num>
  <w:num w:numId="184">
    <w:abstractNumId w:val="172"/>
  </w:num>
  <w:num w:numId="185">
    <w:abstractNumId w:val="54"/>
  </w:num>
  <w:num w:numId="186">
    <w:abstractNumId w:val="73"/>
  </w:num>
  <w:num w:numId="187">
    <w:abstractNumId w:val="102"/>
  </w:num>
  <w:num w:numId="188">
    <w:abstractNumId w:val="91"/>
  </w:num>
  <w:num w:numId="189">
    <w:abstractNumId w:val="48"/>
  </w:num>
  <w:num w:numId="190">
    <w:abstractNumId w:val="147"/>
  </w:num>
  <w:num w:numId="191">
    <w:abstractNumId w:val="55"/>
  </w:num>
  <w:num w:numId="192">
    <w:abstractNumId w:val="31"/>
  </w:num>
  <w:num w:numId="193">
    <w:abstractNumId w:val="80"/>
  </w:num>
  <w:num w:numId="194">
    <w:abstractNumId w:val="139"/>
  </w:num>
  <w:num w:numId="195">
    <w:abstractNumId w:val="6"/>
  </w:num>
  <w:num w:numId="196">
    <w:abstractNumId w:val="158"/>
  </w:num>
  <w:num w:numId="197">
    <w:abstractNumId w:val="114"/>
  </w:num>
  <w:num w:numId="198">
    <w:abstractNumId w:val="178"/>
  </w:num>
  <w:num w:numId="199">
    <w:abstractNumId w:val="63"/>
  </w:num>
  <w:num w:numId="200">
    <w:abstractNumId w:val="200"/>
  </w:num>
  <w:num w:numId="201">
    <w:abstractNumId w:val="203"/>
  </w:num>
  <w:num w:numId="202">
    <w:abstractNumId w:val="79"/>
  </w:num>
  <w:num w:numId="203">
    <w:abstractNumId w:val="179"/>
  </w:num>
  <w:num w:numId="204">
    <w:abstractNumId w:val="164"/>
  </w:num>
  <w:num w:numId="205">
    <w:abstractNumId w:val="186"/>
  </w:num>
  <w:num w:numId="206">
    <w:abstractNumId w:val="182"/>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003F7"/>
    <w:rsid w:val="0000509B"/>
    <w:rsid w:val="0000610D"/>
    <w:rsid w:val="0000762C"/>
    <w:rsid w:val="00011141"/>
    <w:rsid w:val="0001188D"/>
    <w:rsid w:val="00011AFA"/>
    <w:rsid w:val="0001446C"/>
    <w:rsid w:val="00014A33"/>
    <w:rsid w:val="000153C7"/>
    <w:rsid w:val="00017519"/>
    <w:rsid w:val="00020AA1"/>
    <w:rsid w:val="00020F54"/>
    <w:rsid w:val="0002153A"/>
    <w:rsid w:val="00021AEA"/>
    <w:rsid w:val="00022550"/>
    <w:rsid w:val="000227D4"/>
    <w:rsid w:val="000263C1"/>
    <w:rsid w:val="000277AB"/>
    <w:rsid w:val="000311A9"/>
    <w:rsid w:val="000313CE"/>
    <w:rsid w:val="00032F66"/>
    <w:rsid w:val="00034188"/>
    <w:rsid w:val="00034611"/>
    <w:rsid w:val="000350D7"/>
    <w:rsid w:val="00035799"/>
    <w:rsid w:val="00035C82"/>
    <w:rsid w:val="0003634A"/>
    <w:rsid w:val="000441E0"/>
    <w:rsid w:val="00053680"/>
    <w:rsid w:val="0005468D"/>
    <w:rsid w:val="00056EA3"/>
    <w:rsid w:val="00057C5F"/>
    <w:rsid w:val="00061BB8"/>
    <w:rsid w:val="000644D2"/>
    <w:rsid w:val="00064E6C"/>
    <w:rsid w:val="0006578F"/>
    <w:rsid w:val="00065FDB"/>
    <w:rsid w:val="00066133"/>
    <w:rsid w:val="00066FEA"/>
    <w:rsid w:val="00067D58"/>
    <w:rsid w:val="000700F6"/>
    <w:rsid w:val="00071B3F"/>
    <w:rsid w:val="00074215"/>
    <w:rsid w:val="00080FF2"/>
    <w:rsid w:val="0008201B"/>
    <w:rsid w:val="00082EEF"/>
    <w:rsid w:val="00085631"/>
    <w:rsid w:val="00090415"/>
    <w:rsid w:val="00090F42"/>
    <w:rsid w:val="0009278A"/>
    <w:rsid w:val="000934AF"/>
    <w:rsid w:val="00093A78"/>
    <w:rsid w:val="000957CA"/>
    <w:rsid w:val="000958A8"/>
    <w:rsid w:val="00096152"/>
    <w:rsid w:val="00096854"/>
    <w:rsid w:val="000A0ED3"/>
    <w:rsid w:val="000A1A86"/>
    <w:rsid w:val="000A3813"/>
    <w:rsid w:val="000A61B2"/>
    <w:rsid w:val="000A7FD9"/>
    <w:rsid w:val="000B0151"/>
    <w:rsid w:val="000B40A5"/>
    <w:rsid w:val="000B4497"/>
    <w:rsid w:val="000B4DA3"/>
    <w:rsid w:val="000B652C"/>
    <w:rsid w:val="000B67C5"/>
    <w:rsid w:val="000B6871"/>
    <w:rsid w:val="000C26A7"/>
    <w:rsid w:val="000C3347"/>
    <w:rsid w:val="000C7FEE"/>
    <w:rsid w:val="000D1334"/>
    <w:rsid w:val="000D1B3F"/>
    <w:rsid w:val="000D29D3"/>
    <w:rsid w:val="000D3453"/>
    <w:rsid w:val="000D4C75"/>
    <w:rsid w:val="000D6573"/>
    <w:rsid w:val="000D71D8"/>
    <w:rsid w:val="000D7675"/>
    <w:rsid w:val="000E1529"/>
    <w:rsid w:val="000E191D"/>
    <w:rsid w:val="000E374F"/>
    <w:rsid w:val="000E4C12"/>
    <w:rsid w:val="000E6F8B"/>
    <w:rsid w:val="000F1185"/>
    <w:rsid w:val="000F2106"/>
    <w:rsid w:val="000F31AD"/>
    <w:rsid w:val="000F41AB"/>
    <w:rsid w:val="000F4AB8"/>
    <w:rsid w:val="000F5585"/>
    <w:rsid w:val="000F55C4"/>
    <w:rsid w:val="000F5E47"/>
    <w:rsid w:val="00100213"/>
    <w:rsid w:val="001010B7"/>
    <w:rsid w:val="00104450"/>
    <w:rsid w:val="00106960"/>
    <w:rsid w:val="0010753C"/>
    <w:rsid w:val="00110331"/>
    <w:rsid w:val="0011050B"/>
    <w:rsid w:val="00112C84"/>
    <w:rsid w:val="00112ECE"/>
    <w:rsid w:val="00113B40"/>
    <w:rsid w:val="00114B35"/>
    <w:rsid w:val="00115D55"/>
    <w:rsid w:val="0011670B"/>
    <w:rsid w:val="00116BCC"/>
    <w:rsid w:val="00120A96"/>
    <w:rsid w:val="00121853"/>
    <w:rsid w:val="00122CCC"/>
    <w:rsid w:val="00124E19"/>
    <w:rsid w:val="00127F29"/>
    <w:rsid w:val="00133649"/>
    <w:rsid w:val="00136393"/>
    <w:rsid w:val="00137B31"/>
    <w:rsid w:val="00140266"/>
    <w:rsid w:val="00142A2E"/>
    <w:rsid w:val="00144A24"/>
    <w:rsid w:val="00146DF1"/>
    <w:rsid w:val="001470E8"/>
    <w:rsid w:val="001471D4"/>
    <w:rsid w:val="0014743D"/>
    <w:rsid w:val="001504FA"/>
    <w:rsid w:val="00152C5F"/>
    <w:rsid w:val="00152CB7"/>
    <w:rsid w:val="001541B8"/>
    <w:rsid w:val="00154839"/>
    <w:rsid w:val="00154B71"/>
    <w:rsid w:val="00154ED0"/>
    <w:rsid w:val="0015638D"/>
    <w:rsid w:val="0015692A"/>
    <w:rsid w:val="00156FC4"/>
    <w:rsid w:val="001579F0"/>
    <w:rsid w:val="00160ADD"/>
    <w:rsid w:val="001615CA"/>
    <w:rsid w:val="00163903"/>
    <w:rsid w:val="00163BA0"/>
    <w:rsid w:val="001653CF"/>
    <w:rsid w:val="00165DD2"/>
    <w:rsid w:val="00167F6E"/>
    <w:rsid w:val="00170ECB"/>
    <w:rsid w:val="00173A2F"/>
    <w:rsid w:val="00174219"/>
    <w:rsid w:val="001744F2"/>
    <w:rsid w:val="001756D4"/>
    <w:rsid w:val="00177055"/>
    <w:rsid w:val="00177297"/>
    <w:rsid w:val="00177675"/>
    <w:rsid w:val="0018334A"/>
    <w:rsid w:val="00183660"/>
    <w:rsid w:val="001861E1"/>
    <w:rsid w:val="00187A3C"/>
    <w:rsid w:val="00191F20"/>
    <w:rsid w:val="001A02DC"/>
    <w:rsid w:val="001A3BED"/>
    <w:rsid w:val="001A54D6"/>
    <w:rsid w:val="001A5E44"/>
    <w:rsid w:val="001A653C"/>
    <w:rsid w:val="001A7083"/>
    <w:rsid w:val="001A7446"/>
    <w:rsid w:val="001B1B33"/>
    <w:rsid w:val="001B3354"/>
    <w:rsid w:val="001B3A05"/>
    <w:rsid w:val="001B3F99"/>
    <w:rsid w:val="001B6BBF"/>
    <w:rsid w:val="001B7859"/>
    <w:rsid w:val="001C17CA"/>
    <w:rsid w:val="001C2342"/>
    <w:rsid w:val="001C2ABC"/>
    <w:rsid w:val="001C654A"/>
    <w:rsid w:val="001C7AC2"/>
    <w:rsid w:val="001D08E3"/>
    <w:rsid w:val="001D1445"/>
    <w:rsid w:val="001D1B46"/>
    <w:rsid w:val="001D1DDE"/>
    <w:rsid w:val="001D4C7B"/>
    <w:rsid w:val="001D5C8E"/>
    <w:rsid w:val="001E113B"/>
    <w:rsid w:val="001E38F4"/>
    <w:rsid w:val="001E3DFB"/>
    <w:rsid w:val="001E458F"/>
    <w:rsid w:val="001E5A30"/>
    <w:rsid w:val="001E7A8C"/>
    <w:rsid w:val="001F0306"/>
    <w:rsid w:val="001F0C10"/>
    <w:rsid w:val="001F1E62"/>
    <w:rsid w:val="001F285C"/>
    <w:rsid w:val="001F4591"/>
    <w:rsid w:val="001F59B4"/>
    <w:rsid w:val="001F6F86"/>
    <w:rsid w:val="001F7CC0"/>
    <w:rsid w:val="002000F0"/>
    <w:rsid w:val="002004C1"/>
    <w:rsid w:val="00203C1A"/>
    <w:rsid w:val="0020417A"/>
    <w:rsid w:val="00204912"/>
    <w:rsid w:val="00204B99"/>
    <w:rsid w:val="002051E0"/>
    <w:rsid w:val="00206CB4"/>
    <w:rsid w:val="0020722D"/>
    <w:rsid w:val="0021009F"/>
    <w:rsid w:val="002103A8"/>
    <w:rsid w:val="0021104A"/>
    <w:rsid w:val="00212C29"/>
    <w:rsid w:val="00213FD5"/>
    <w:rsid w:val="00214672"/>
    <w:rsid w:val="00214CBF"/>
    <w:rsid w:val="002159C7"/>
    <w:rsid w:val="00216146"/>
    <w:rsid w:val="002177A7"/>
    <w:rsid w:val="00217D02"/>
    <w:rsid w:val="002210D1"/>
    <w:rsid w:val="00223031"/>
    <w:rsid w:val="00224B78"/>
    <w:rsid w:val="00226F4B"/>
    <w:rsid w:val="00227674"/>
    <w:rsid w:val="00230342"/>
    <w:rsid w:val="002305F7"/>
    <w:rsid w:val="00232D4C"/>
    <w:rsid w:val="002333FA"/>
    <w:rsid w:val="002334FB"/>
    <w:rsid w:val="00233A9F"/>
    <w:rsid w:val="002340D6"/>
    <w:rsid w:val="00237528"/>
    <w:rsid w:val="00240B38"/>
    <w:rsid w:val="002414A4"/>
    <w:rsid w:val="002425A8"/>
    <w:rsid w:val="002443AD"/>
    <w:rsid w:val="00245F1F"/>
    <w:rsid w:val="00245F60"/>
    <w:rsid w:val="002479C4"/>
    <w:rsid w:val="00250219"/>
    <w:rsid w:val="00251406"/>
    <w:rsid w:val="00255367"/>
    <w:rsid w:val="002559CA"/>
    <w:rsid w:val="00255B6D"/>
    <w:rsid w:val="00255F19"/>
    <w:rsid w:val="002600A2"/>
    <w:rsid w:val="002608BF"/>
    <w:rsid w:val="002610BA"/>
    <w:rsid w:val="0026255F"/>
    <w:rsid w:val="00263696"/>
    <w:rsid w:val="00265788"/>
    <w:rsid w:val="002665AA"/>
    <w:rsid w:val="00270410"/>
    <w:rsid w:val="00271B99"/>
    <w:rsid w:val="002734C2"/>
    <w:rsid w:val="00277740"/>
    <w:rsid w:val="0028129E"/>
    <w:rsid w:val="002822E0"/>
    <w:rsid w:val="00293D3C"/>
    <w:rsid w:val="00295DA9"/>
    <w:rsid w:val="00296481"/>
    <w:rsid w:val="002975AC"/>
    <w:rsid w:val="002A35E7"/>
    <w:rsid w:val="002A4073"/>
    <w:rsid w:val="002A5469"/>
    <w:rsid w:val="002A67FB"/>
    <w:rsid w:val="002A72B0"/>
    <w:rsid w:val="002A76D4"/>
    <w:rsid w:val="002B0983"/>
    <w:rsid w:val="002B0AF6"/>
    <w:rsid w:val="002B2708"/>
    <w:rsid w:val="002B2F4F"/>
    <w:rsid w:val="002B5ED7"/>
    <w:rsid w:val="002B7E6B"/>
    <w:rsid w:val="002C28FB"/>
    <w:rsid w:val="002C365B"/>
    <w:rsid w:val="002D22DF"/>
    <w:rsid w:val="002D3C92"/>
    <w:rsid w:val="002D6FAC"/>
    <w:rsid w:val="002E09C4"/>
    <w:rsid w:val="002E22A8"/>
    <w:rsid w:val="002E22F1"/>
    <w:rsid w:val="002E2388"/>
    <w:rsid w:val="002E6C57"/>
    <w:rsid w:val="002E7B93"/>
    <w:rsid w:val="002F04F6"/>
    <w:rsid w:val="002F0A81"/>
    <w:rsid w:val="002F1737"/>
    <w:rsid w:val="002F18B1"/>
    <w:rsid w:val="002F208D"/>
    <w:rsid w:val="002F23D0"/>
    <w:rsid w:val="002F701A"/>
    <w:rsid w:val="002F7041"/>
    <w:rsid w:val="002F70A4"/>
    <w:rsid w:val="003009F4"/>
    <w:rsid w:val="00302DF1"/>
    <w:rsid w:val="00304DBF"/>
    <w:rsid w:val="00311510"/>
    <w:rsid w:val="00313416"/>
    <w:rsid w:val="00314AE2"/>
    <w:rsid w:val="00314D04"/>
    <w:rsid w:val="00317A05"/>
    <w:rsid w:val="00317F83"/>
    <w:rsid w:val="00320D0C"/>
    <w:rsid w:val="00323285"/>
    <w:rsid w:val="00323CFA"/>
    <w:rsid w:val="0032633C"/>
    <w:rsid w:val="00331F66"/>
    <w:rsid w:val="00332668"/>
    <w:rsid w:val="00332F7E"/>
    <w:rsid w:val="00333A9C"/>
    <w:rsid w:val="003359C9"/>
    <w:rsid w:val="0033768D"/>
    <w:rsid w:val="0034063B"/>
    <w:rsid w:val="00340897"/>
    <w:rsid w:val="00340940"/>
    <w:rsid w:val="00340C22"/>
    <w:rsid w:val="00340F6A"/>
    <w:rsid w:val="003418FC"/>
    <w:rsid w:val="003431E1"/>
    <w:rsid w:val="003435FE"/>
    <w:rsid w:val="00343958"/>
    <w:rsid w:val="003452C1"/>
    <w:rsid w:val="00345BD8"/>
    <w:rsid w:val="003469A1"/>
    <w:rsid w:val="00347CF4"/>
    <w:rsid w:val="003503E6"/>
    <w:rsid w:val="00351074"/>
    <w:rsid w:val="00352030"/>
    <w:rsid w:val="003530FB"/>
    <w:rsid w:val="003610CA"/>
    <w:rsid w:val="00361A80"/>
    <w:rsid w:val="0036257B"/>
    <w:rsid w:val="00362E5A"/>
    <w:rsid w:val="003632A2"/>
    <w:rsid w:val="003638E6"/>
    <w:rsid w:val="003658ED"/>
    <w:rsid w:val="00367095"/>
    <w:rsid w:val="00370B62"/>
    <w:rsid w:val="00372900"/>
    <w:rsid w:val="00375547"/>
    <w:rsid w:val="00376B18"/>
    <w:rsid w:val="00377661"/>
    <w:rsid w:val="003812CF"/>
    <w:rsid w:val="00381D93"/>
    <w:rsid w:val="00383150"/>
    <w:rsid w:val="00386329"/>
    <w:rsid w:val="00386E02"/>
    <w:rsid w:val="003901F4"/>
    <w:rsid w:val="00392209"/>
    <w:rsid w:val="0039510E"/>
    <w:rsid w:val="003968FD"/>
    <w:rsid w:val="003975F1"/>
    <w:rsid w:val="0039791B"/>
    <w:rsid w:val="00397FA1"/>
    <w:rsid w:val="003A12F1"/>
    <w:rsid w:val="003A16EB"/>
    <w:rsid w:val="003A2B8A"/>
    <w:rsid w:val="003A2C3D"/>
    <w:rsid w:val="003A39A8"/>
    <w:rsid w:val="003A3D5A"/>
    <w:rsid w:val="003A48EB"/>
    <w:rsid w:val="003A7438"/>
    <w:rsid w:val="003B2C28"/>
    <w:rsid w:val="003B398B"/>
    <w:rsid w:val="003B517D"/>
    <w:rsid w:val="003B57A8"/>
    <w:rsid w:val="003B5D9A"/>
    <w:rsid w:val="003B63CC"/>
    <w:rsid w:val="003C6BF6"/>
    <w:rsid w:val="003C7C91"/>
    <w:rsid w:val="003D06F8"/>
    <w:rsid w:val="003D1EDC"/>
    <w:rsid w:val="003D259D"/>
    <w:rsid w:val="003D36B7"/>
    <w:rsid w:val="003D3ED3"/>
    <w:rsid w:val="003D65D2"/>
    <w:rsid w:val="003D6F0D"/>
    <w:rsid w:val="003D7E0A"/>
    <w:rsid w:val="003E1C2E"/>
    <w:rsid w:val="003E214D"/>
    <w:rsid w:val="003E2B5F"/>
    <w:rsid w:val="003E38A0"/>
    <w:rsid w:val="003E3BBB"/>
    <w:rsid w:val="003E3E4A"/>
    <w:rsid w:val="003E4535"/>
    <w:rsid w:val="003E4C39"/>
    <w:rsid w:val="003F20FF"/>
    <w:rsid w:val="003F3F90"/>
    <w:rsid w:val="003F54EC"/>
    <w:rsid w:val="003F5D85"/>
    <w:rsid w:val="003F6259"/>
    <w:rsid w:val="003F7DC4"/>
    <w:rsid w:val="004005CB"/>
    <w:rsid w:val="00401CF9"/>
    <w:rsid w:val="004037DB"/>
    <w:rsid w:val="00403B66"/>
    <w:rsid w:val="00403C9B"/>
    <w:rsid w:val="004112B6"/>
    <w:rsid w:val="0041321C"/>
    <w:rsid w:val="00414F4E"/>
    <w:rsid w:val="00415040"/>
    <w:rsid w:val="00417247"/>
    <w:rsid w:val="0042068F"/>
    <w:rsid w:val="0042238B"/>
    <w:rsid w:val="00422DBA"/>
    <w:rsid w:val="00423D75"/>
    <w:rsid w:val="004240EE"/>
    <w:rsid w:val="0042581A"/>
    <w:rsid w:val="00426529"/>
    <w:rsid w:val="00430227"/>
    <w:rsid w:val="00430E0D"/>
    <w:rsid w:val="00431A1D"/>
    <w:rsid w:val="00432BEB"/>
    <w:rsid w:val="00432DD6"/>
    <w:rsid w:val="00433E97"/>
    <w:rsid w:val="004365E8"/>
    <w:rsid w:val="00440352"/>
    <w:rsid w:val="004412B5"/>
    <w:rsid w:val="00443735"/>
    <w:rsid w:val="0044396C"/>
    <w:rsid w:val="004442EE"/>
    <w:rsid w:val="004463BF"/>
    <w:rsid w:val="00446BDB"/>
    <w:rsid w:val="00447C9A"/>
    <w:rsid w:val="00447F6F"/>
    <w:rsid w:val="004515FD"/>
    <w:rsid w:val="0045352C"/>
    <w:rsid w:val="00454721"/>
    <w:rsid w:val="00456331"/>
    <w:rsid w:val="0046037A"/>
    <w:rsid w:val="004616B4"/>
    <w:rsid w:val="004629A9"/>
    <w:rsid w:val="0046303F"/>
    <w:rsid w:val="00464091"/>
    <w:rsid w:val="00470C92"/>
    <w:rsid w:val="00471126"/>
    <w:rsid w:val="0047115C"/>
    <w:rsid w:val="00471354"/>
    <w:rsid w:val="00475630"/>
    <w:rsid w:val="00477107"/>
    <w:rsid w:val="00482432"/>
    <w:rsid w:val="00482D85"/>
    <w:rsid w:val="0048364B"/>
    <w:rsid w:val="00484903"/>
    <w:rsid w:val="00486418"/>
    <w:rsid w:val="00487086"/>
    <w:rsid w:val="00487F6C"/>
    <w:rsid w:val="00490092"/>
    <w:rsid w:val="00491659"/>
    <w:rsid w:val="00492AB1"/>
    <w:rsid w:val="00493ACC"/>
    <w:rsid w:val="004940BF"/>
    <w:rsid w:val="00494202"/>
    <w:rsid w:val="0049643B"/>
    <w:rsid w:val="004A318D"/>
    <w:rsid w:val="004A3D1F"/>
    <w:rsid w:val="004A6258"/>
    <w:rsid w:val="004B00B5"/>
    <w:rsid w:val="004B36DC"/>
    <w:rsid w:val="004B462F"/>
    <w:rsid w:val="004C08C0"/>
    <w:rsid w:val="004C104E"/>
    <w:rsid w:val="004C28DE"/>
    <w:rsid w:val="004C65A3"/>
    <w:rsid w:val="004C79EB"/>
    <w:rsid w:val="004C7A97"/>
    <w:rsid w:val="004D0814"/>
    <w:rsid w:val="004D192E"/>
    <w:rsid w:val="004D49CB"/>
    <w:rsid w:val="004D65E3"/>
    <w:rsid w:val="004D7AF0"/>
    <w:rsid w:val="004E4258"/>
    <w:rsid w:val="004E59E1"/>
    <w:rsid w:val="004E6211"/>
    <w:rsid w:val="004E6A67"/>
    <w:rsid w:val="004E7D2B"/>
    <w:rsid w:val="004F3F9A"/>
    <w:rsid w:val="004F4853"/>
    <w:rsid w:val="004F4E4F"/>
    <w:rsid w:val="004F616C"/>
    <w:rsid w:val="004F691B"/>
    <w:rsid w:val="004F7D92"/>
    <w:rsid w:val="00500B9D"/>
    <w:rsid w:val="00500EF4"/>
    <w:rsid w:val="0050246A"/>
    <w:rsid w:val="00503E7E"/>
    <w:rsid w:val="0050651A"/>
    <w:rsid w:val="005069DF"/>
    <w:rsid w:val="00510D4C"/>
    <w:rsid w:val="00513EEA"/>
    <w:rsid w:val="005147A1"/>
    <w:rsid w:val="00514C50"/>
    <w:rsid w:val="00516F61"/>
    <w:rsid w:val="00520934"/>
    <w:rsid w:val="00522E20"/>
    <w:rsid w:val="005253A4"/>
    <w:rsid w:val="005268A3"/>
    <w:rsid w:val="0052760E"/>
    <w:rsid w:val="00530F94"/>
    <w:rsid w:val="00533CC1"/>
    <w:rsid w:val="0053420F"/>
    <w:rsid w:val="00537275"/>
    <w:rsid w:val="005403D1"/>
    <w:rsid w:val="00542B4F"/>
    <w:rsid w:val="00543667"/>
    <w:rsid w:val="005441AB"/>
    <w:rsid w:val="00545E8F"/>
    <w:rsid w:val="00546E87"/>
    <w:rsid w:val="00546F14"/>
    <w:rsid w:val="00547E6F"/>
    <w:rsid w:val="00547F8B"/>
    <w:rsid w:val="00547FD0"/>
    <w:rsid w:val="00550386"/>
    <w:rsid w:val="005506F2"/>
    <w:rsid w:val="005508FC"/>
    <w:rsid w:val="005512D4"/>
    <w:rsid w:val="005526D5"/>
    <w:rsid w:val="0055427C"/>
    <w:rsid w:val="0055427D"/>
    <w:rsid w:val="00554434"/>
    <w:rsid w:val="00554DC1"/>
    <w:rsid w:val="00555F20"/>
    <w:rsid w:val="00557289"/>
    <w:rsid w:val="00562AF9"/>
    <w:rsid w:val="005638CD"/>
    <w:rsid w:val="00564489"/>
    <w:rsid w:val="00564F9A"/>
    <w:rsid w:val="0056513A"/>
    <w:rsid w:val="0056547B"/>
    <w:rsid w:val="00570C26"/>
    <w:rsid w:val="0057260E"/>
    <w:rsid w:val="00575403"/>
    <w:rsid w:val="005758AF"/>
    <w:rsid w:val="00575BA2"/>
    <w:rsid w:val="005765FC"/>
    <w:rsid w:val="00577AC3"/>
    <w:rsid w:val="00583597"/>
    <w:rsid w:val="00583E96"/>
    <w:rsid w:val="00584420"/>
    <w:rsid w:val="005851CA"/>
    <w:rsid w:val="00585E0B"/>
    <w:rsid w:val="005869E9"/>
    <w:rsid w:val="005875BB"/>
    <w:rsid w:val="00590B44"/>
    <w:rsid w:val="00591341"/>
    <w:rsid w:val="0059579B"/>
    <w:rsid w:val="005A1264"/>
    <w:rsid w:val="005A1A3E"/>
    <w:rsid w:val="005A2439"/>
    <w:rsid w:val="005A2AA0"/>
    <w:rsid w:val="005A4D3B"/>
    <w:rsid w:val="005A515D"/>
    <w:rsid w:val="005A75FF"/>
    <w:rsid w:val="005B2CFF"/>
    <w:rsid w:val="005B3F21"/>
    <w:rsid w:val="005B4021"/>
    <w:rsid w:val="005B4D7C"/>
    <w:rsid w:val="005B62BF"/>
    <w:rsid w:val="005B6CFE"/>
    <w:rsid w:val="005C01A8"/>
    <w:rsid w:val="005C196B"/>
    <w:rsid w:val="005C4B77"/>
    <w:rsid w:val="005C56BC"/>
    <w:rsid w:val="005C7A50"/>
    <w:rsid w:val="005D11C8"/>
    <w:rsid w:val="005D131D"/>
    <w:rsid w:val="005D2619"/>
    <w:rsid w:val="005D2857"/>
    <w:rsid w:val="005D2EBE"/>
    <w:rsid w:val="005D5785"/>
    <w:rsid w:val="005D60E0"/>
    <w:rsid w:val="005D7868"/>
    <w:rsid w:val="005E28D3"/>
    <w:rsid w:val="005E3CA2"/>
    <w:rsid w:val="005E57B3"/>
    <w:rsid w:val="005F01DA"/>
    <w:rsid w:val="005F0426"/>
    <w:rsid w:val="005F26E1"/>
    <w:rsid w:val="005F5390"/>
    <w:rsid w:val="005F53DE"/>
    <w:rsid w:val="005F643B"/>
    <w:rsid w:val="005F7E00"/>
    <w:rsid w:val="00604DD3"/>
    <w:rsid w:val="00604ECC"/>
    <w:rsid w:val="00605A13"/>
    <w:rsid w:val="0061027A"/>
    <w:rsid w:val="0061084F"/>
    <w:rsid w:val="00612211"/>
    <w:rsid w:val="0061417E"/>
    <w:rsid w:val="0061459E"/>
    <w:rsid w:val="00614B1E"/>
    <w:rsid w:val="0062088D"/>
    <w:rsid w:val="006239A4"/>
    <w:rsid w:val="00627275"/>
    <w:rsid w:val="00627286"/>
    <w:rsid w:val="00631B49"/>
    <w:rsid w:val="00631D47"/>
    <w:rsid w:val="0063310A"/>
    <w:rsid w:val="00635F50"/>
    <w:rsid w:val="006401E2"/>
    <w:rsid w:val="0064132B"/>
    <w:rsid w:val="0064195B"/>
    <w:rsid w:val="00642C8E"/>
    <w:rsid w:val="00644601"/>
    <w:rsid w:val="006456F9"/>
    <w:rsid w:val="00650315"/>
    <w:rsid w:val="0065069D"/>
    <w:rsid w:val="00650C8E"/>
    <w:rsid w:val="00655D69"/>
    <w:rsid w:val="00657A7E"/>
    <w:rsid w:val="00660565"/>
    <w:rsid w:val="00661862"/>
    <w:rsid w:val="00661D88"/>
    <w:rsid w:val="00662156"/>
    <w:rsid w:val="00662D67"/>
    <w:rsid w:val="00662F58"/>
    <w:rsid w:val="006630C7"/>
    <w:rsid w:val="00663119"/>
    <w:rsid w:val="0066347F"/>
    <w:rsid w:val="00664C7B"/>
    <w:rsid w:val="00665655"/>
    <w:rsid w:val="00665AF1"/>
    <w:rsid w:val="00671AA2"/>
    <w:rsid w:val="006731FA"/>
    <w:rsid w:val="006761BE"/>
    <w:rsid w:val="0067702D"/>
    <w:rsid w:val="006772B7"/>
    <w:rsid w:val="0067740D"/>
    <w:rsid w:val="0068066E"/>
    <w:rsid w:val="006811B8"/>
    <w:rsid w:val="00681210"/>
    <w:rsid w:val="00681E75"/>
    <w:rsid w:val="00681FDD"/>
    <w:rsid w:val="00683DFB"/>
    <w:rsid w:val="00684760"/>
    <w:rsid w:val="006849FB"/>
    <w:rsid w:val="00686B09"/>
    <w:rsid w:val="00686DD9"/>
    <w:rsid w:val="006870DF"/>
    <w:rsid w:val="006876B3"/>
    <w:rsid w:val="00690289"/>
    <w:rsid w:val="00690C5F"/>
    <w:rsid w:val="00691F54"/>
    <w:rsid w:val="006A0385"/>
    <w:rsid w:val="006A06CC"/>
    <w:rsid w:val="006A1C7C"/>
    <w:rsid w:val="006A448D"/>
    <w:rsid w:val="006B0950"/>
    <w:rsid w:val="006B618D"/>
    <w:rsid w:val="006B68E0"/>
    <w:rsid w:val="006B716E"/>
    <w:rsid w:val="006B7EC7"/>
    <w:rsid w:val="006C0898"/>
    <w:rsid w:val="006C0A85"/>
    <w:rsid w:val="006C268C"/>
    <w:rsid w:val="006C5E2B"/>
    <w:rsid w:val="006C695C"/>
    <w:rsid w:val="006C70C9"/>
    <w:rsid w:val="006D03B9"/>
    <w:rsid w:val="006D164C"/>
    <w:rsid w:val="006D2A28"/>
    <w:rsid w:val="006D4037"/>
    <w:rsid w:val="006D575A"/>
    <w:rsid w:val="006D57EB"/>
    <w:rsid w:val="006D5F99"/>
    <w:rsid w:val="006D7FF2"/>
    <w:rsid w:val="006E1C0F"/>
    <w:rsid w:val="006E21DD"/>
    <w:rsid w:val="006E550E"/>
    <w:rsid w:val="006E5FAF"/>
    <w:rsid w:val="006E7FD0"/>
    <w:rsid w:val="006F130E"/>
    <w:rsid w:val="006F2807"/>
    <w:rsid w:val="006F2924"/>
    <w:rsid w:val="006F436A"/>
    <w:rsid w:val="006F51FB"/>
    <w:rsid w:val="006F63CB"/>
    <w:rsid w:val="00700C78"/>
    <w:rsid w:val="007022BF"/>
    <w:rsid w:val="00702A58"/>
    <w:rsid w:val="007047C9"/>
    <w:rsid w:val="00707FB6"/>
    <w:rsid w:val="00711657"/>
    <w:rsid w:val="007136D6"/>
    <w:rsid w:val="00714854"/>
    <w:rsid w:val="00714D95"/>
    <w:rsid w:val="00717D0F"/>
    <w:rsid w:val="00720409"/>
    <w:rsid w:val="00723D07"/>
    <w:rsid w:val="00724E8B"/>
    <w:rsid w:val="00726B07"/>
    <w:rsid w:val="00730E56"/>
    <w:rsid w:val="00732A02"/>
    <w:rsid w:val="00734542"/>
    <w:rsid w:val="00735BB4"/>
    <w:rsid w:val="007373B8"/>
    <w:rsid w:val="007400F5"/>
    <w:rsid w:val="00740BEE"/>
    <w:rsid w:val="00744EA2"/>
    <w:rsid w:val="007476DC"/>
    <w:rsid w:val="00747F5C"/>
    <w:rsid w:val="007501D9"/>
    <w:rsid w:val="0075138C"/>
    <w:rsid w:val="0075288D"/>
    <w:rsid w:val="00753041"/>
    <w:rsid w:val="00753A20"/>
    <w:rsid w:val="00753DCA"/>
    <w:rsid w:val="00754AE3"/>
    <w:rsid w:val="00755BE0"/>
    <w:rsid w:val="00761F52"/>
    <w:rsid w:val="00763934"/>
    <w:rsid w:val="00764959"/>
    <w:rsid w:val="00765CAB"/>
    <w:rsid w:val="00770E6D"/>
    <w:rsid w:val="007715D1"/>
    <w:rsid w:val="00772C92"/>
    <w:rsid w:val="00775712"/>
    <w:rsid w:val="0077648A"/>
    <w:rsid w:val="00780B18"/>
    <w:rsid w:val="007820DE"/>
    <w:rsid w:val="00783BC7"/>
    <w:rsid w:val="00783D70"/>
    <w:rsid w:val="00783D94"/>
    <w:rsid w:val="00783F1C"/>
    <w:rsid w:val="00785CD2"/>
    <w:rsid w:val="00791CEA"/>
    <w:rsid w:val="007924D0"/>
    <w:rsid w:val="007949CF"/>
    <w:rsid w:val="007955AC"/>
    <w:rsid w:val="00797B83"/>
    <w:rsid w:val="007A0513"/>
    <w:rsid w:val="007A0530"/>
    <w:rsid w:val="007A086B"/>
    <w:rsid w:val="007A1591"/>
    <w:rsid w:val="007A186C"/>
    <w:rsid w:val="007A3626"/>
    <w:rsid w:val="007A567E"/>
    <w:rsid w:val="007A6933"/>
    <w:rsid w:val="007A6F9B"/>
    <w:rsid w:val="007B09DF"/>
    <w:rsid w:val="007B38DA"/>
    <w:rsid w:val="007B39E0"/>
    <w:rsid w:val="007B48D3"/>
    <w:rsid w:val="007B4E0A"/>
    <w:rsid w:val="007B5D26"/>
    <w:rsid w:val="007C2AC3"/>
    <w:rsid w:val="007C4A4B"/>
    <w:rsid w:val="007C4C4A"/>
    <w:rsid w:val="007C523F"/>
    <w:rsid w:val="007C55F3"/>
    <w:rsid w:val="007D0042"/>
    <w:rsid w:val="007D0978"/>
    <w:rsid w:val="007D40A9"/>
    <w:rsid w:val="007D59DC"/>
    <w:rsid w:val="007D7192"/>
    <w:rsid w:val="007D7FCB"/>
    <w:rsid w:val="007E18BD"/>
    <w:rsid w:val="007E2632"/>
    <w:rsid w:val="007E2EE0"/>
    <w:rsid w:val="007E4CE2"/>
    <w:rsid w:val="007E4D44"/>
    <w:rsid w:val="007E66EC"/>
    <w:rsid w:val="007F0AA1"/>
    <w:rsid w:val="007F0B1D"/>
    <w:rsid w:val="007F1CC2"/>
    <w:rsid w:val="007F1E20"/>
    <w:rsid w:val="007F2606"/>
    <w:rsid w:val="007F33CB"/>
    <w:rsid w:val="007F47D4"/>
    <w:rsid w:val="007F5876"/>
    <w:rsid w:val="007F66A4"/>
    <w:rsid w:val="007F6F96"/>
    <w:rsid w:val="0080066F"/>
    <w:rsid w:val="008009DC"/>
    <w:rsid w:val="00801DBA"/>
    <w:rsid w:val="00803DD9"/>
    <w:rsid w:val="00805016"/>
    <w:rsid w:val="00805AB4"/>
    <w:rsid w:val="0080670E"/>
    <w:rsid w:val="00806766"/>
    <w:rsid w:val="00806B67"/>
    <w:rsid w:val="008133E6"/>
    <w:rsid w:val="00813B95"/>
    <w:rsid w:val="00814AB6"/>
    <w:rsid w:val="00816140"/>
    <w:rsid w:val="008166C4"/>
    <w:rsid w:val="00817788"/>
    <w:rsid w:val="00821A45"/>
    <w:rsid w:val="008225D8"/>
    <w:rsid w:val="00824FC3"/>
    <w:rsid w:val="00825F1F"/>
    <w:rsid w:val="00826179"/>
    <w:rsid w:val="008262DD"/>
    <w:rsid w:val="00826F7D"/>
    <w:rsid w:val="00830CE7"/>
    <w:rsid w:val="00832521"/>
    <w:rsid w:val="0083413C"/>
    <w:rsid w:val="008345B3"/>
    <w:rsid w:val="008371B7"/>
    <w:rsid w:val="008375C8"/>
    <w:rsid w:val="00837BD9"/>
    <w:rsid w:val="00837E03"/>
    <w:rsid w:val="0084001C"/>
    <w:rsid w:val="00840745"/>
    <w:rsid w:val="00844DD8"/>
    <w:rsid w:val="00845F64"/>
    <w:rsid w:val="008464BF"/>
    <w:rsid w:val="00850BBA"/>
    <w:rsid w:val="0085274F"/>
    <w:rsid w:val="00854971"/>
    <w:rsid w:val="00857D13"/>
    <w:rsid w:val="00860C50"/>
    <w:rsid w:val="00861E4B"/>
    <w:rsid w:val="00862688"/>
    <w:rsid w:val="00863001"/>
    <w:rsid w:val="00863977"/>
    <w:rsid w:val="008673E1"/>
    <w:rsid w:val="0087002E"/>
    <w:rsid w:val="00870F35"/>
    <w:rsid w:val="008716AF"/>
    <w:rsid w:val="008716C0"/>
    <w:rsid w:val="00873678"/>
    <w:rsid w:val="00873D62"/>
    <w:rsid w:val="008757D3"/>
    <w:rsid w:val="0087610B"/>
    <w:rsid w:val="00876380"/>
    <w:rsid w:val="0087714C"/>
    <w:rsid w:val="00877E88"/>
    <w:rsid w:val="00882058"/>
    <w:rsid w:val="00882EDD"/>
    <w:rsid w:val="008859ED"/>
    <w:rsid w:val="00885CA4"/>
    <w:rsid w:val="00885EA2"/>
    <w:rsid w:val="00886359"/>
    <w:rsid w:val="00886AA5"/>
    <w:rsid w:val="00886BDD"/>
    <w:rsid w:val="00892F20"/>
    <w:rsid w:val="008937DA"/>
    <w:rsid w:val="00894250"/>
    <w:rsid w:val="00894BF2"/>
    <w:rsid w:val="00897BBC"/>
    <w:rsid w:val="00897FD1"/>
    <w:rsid w:val="008A0F7E"/>
    <w:rsid w:val="008A1417"/>
    <w:rsid w:val="008A1DF3"/>
    <w:rsid w:val="008A2606"/>
    <w:rsid w:val="008A480A"/>
    <w:rsid w:val="008A5121"/>
    <w:rsid w:val="008A68E6"/>
    <w:rsid w:val="008A75AE"/>
    <w:rsid w:val="008A7DC5"/>
    <w:rsid w:val="008B1960"/>
    <w:rsid w:val="008B23B3"/>
    <w:rsid w:val="008B2666"/>
    <w:rsid w:val="008B6DC9"/>
    <w:rsid w:val="008C0DF6"/>
    <w:rsid w:val="008C1B30"/>
    <w:rsid w:val="008C2394"/>
    <w:rsid w:val="008C265A"/>
    <w:rsid w:val="008C28E3"/>
    <w:rsid w:val="008C657B"/>
    <w:rsid w:val="008C6580"/>
    <w:rsid w:val="008C791F"/>
    <w:rsid w:val="008D2119"/>
    <w:rsid w:val="008D332C"/>
    <w:rsid w:val="008D3BE0"/>
    <w:rsid w:val="008D5C0C"/>
    <w:rsid w:val="008D6DF4"/>
    <w:rsid w:val="008D7688"/>
    <w:rsid w:val="008E0003"/>
    <w:rsid w:val="008E289B"/>
    <w:rsid w:val="008E3110"/>
    <w:rsid w:val="008E4CF8"/>
    <w:rsid w:val="008E4F6D"/>
    <w:rsid w:val="008E5CA3"/>
    <w:rsid w:val="008E61F0"/>
    <w:rsid w:val="008E7094"/>
    <w:rsid w:val="008F258D"/>
    <w:rsid w:val="008F391B"/>
    <w:rsid w:val="008F6FA6"/>
    <w:rsid w:val="009006B2"/>
    <w:rsid w:val="009010F6"/>
    <w:rsid w:val="009063C2"/>
    <w:rsid w:val="009066CC"/>
    <w:rsid w:val="00912A35"/>
    <w:rsid w:val="00915277"/>
    <w:rsid w:val="00916531"/>
    <w:rsid w:val="00923D7C"/>
    <w:rsid w:val="00932EC4"/>
    <w:rsid w:val="009342FE"/>
    <w:rsid w:val="009355F8"/>
    <w:rsid w:val="00936F4C"/>
    <w:rsid w:val="0093706A"/>
    <w:rsid w:val="0094084F"/>
    <w:rsid w:val="00943675"/>
    <w:rsid w:val="009437CD"/>
    <w:rsid w:val="00943C8C"/>
    <w:rsid w:val="0094413D"/>
    <w:rsid w:val="009464F1"/>
    <w:rsid w:val="00952295"/>
    <w:rsid w:val="00952FB0"/>
    <w:rsid w:val="00953CE8"/>
    <w:rsid w:val="009600CC"/>
    <w:rsid w:val="00962027"/>
    <w:rsid w:val="00962A49"/>
    <w:rsid w:val="00963DBB"/>
    <w:rsid w:val="00964AD7"/>
    <w:rsid w:val="00964CC2"/>
    <w:rsid w:val="009672C3"/>
    <w:rsid w:val="00967872"/>
    <w:rsid w:val="0097010B"/>
    <w:rsid w:val="00973A6B"/>
    <w:rsid w:val="00977EC1"/>
    <w:rsid w:val="00980576"/>
    <w:rsid w:val="00980BBF"/>
    <w:rsid w:val="00981C05"/>
    <w:rsid w:val="00983340"/>
    <w:rsid w:val="00985DF5"/>
    <w:rsid w:val="0098707B"/>
    <w:rsid w:val="00991486"/>
    <w:rsid w:val="009938E3"/>
    <w:rsid w:val="009948CA"/>
    <w:rsid w:val="00994DA1"/>
    <w:rsid w:val="009957DA"/>
    <w:rsid w:val="00996F72"/>
    <w:rsid w:val="009A08FE"/>
    <w:rsid w:val="009A1B21"/>
    <w:rsid w:val="009A21BF"/>
    <w:rsid w:val="009A4696"/>
    <w:rsid w:val="009A6868"/>
    <w:rsid w:val="009A76AE"/>
    <w:rsid w:val="009B02C0"/>
    <w:rsid w:val="009B05A6"/>
    <w:rsid w:val="009B0703"/>
    <w:rsid w:val="009B17DF"/>
    <w:rsid w:val="009B33F9"/>
    <w:rsid w:val="009B49BC"/>
    <w:rsid w:val="009B55D5"/>
    <w:rsid w:val="009B5FCA"/>
    <w:rsid w:val="009C007E"/>
    <w:rsid w:val="009C4204"/>
    <w:rsid w:val="009C515E"/>
    <w:rsid w:val="009C524A"/>
    <w:rsid w:val="009C75C5"/>
    <w:rsid w:val="009C7972"/>
    <w:rsid w:val="009D03CC"/>
    <w:rsid w:val="009D07AD"/>
    <w:rsid w:val="009D18F8"/>
    <w:rsid w:val="009D26E8"/>
    <w:rsid w:val="009D32AD"/>
    <w:rsid w:val="009D3E6F"/>
    <w:rsid w:val="009D707F"/>
    <w:rsid w:val="009E3A4F"/>
    <w:rsid w:val="009E5E15"/>
    <w:rsid w:val="009F0E49"/>
    <w:rsid w:val="009F1DE1"/>
    <w:rsid w:val="009F2892"/>
    <w:rsid w:val="009F3213"/>
    <w:rsid w:val="009F44C7"/>
    <w:rsid w:val="00A00A59"/>
    <w:rsid w:val="00A00D36"/>
    <w:rsid w:val="00A016F9"/>
    <w:rsid w:val="00A033D2"/>
    <w:rsid w:val="00A04897"/>
    <w:rsid w:val="00A11B44"/>
    <w:rsid w:val="00A129CE"/>
    <w:rsid w:val="00A13A18"/>
    <w:rsid w:val="00A13B5C"/>
    <w:rsid w:val="00A14D2C"/>
    <w:rsid w:val="00A178A4"/>
    <w:rsid w:val="00A20348"/>
    <w:rsid w:val="00A22CF9"/>
    <w:rsid w:val="00A22DA5"/>
    <w:rsid w:val="00A246B7"/>
    <w:rsid w:val="00A24C6A"/>
    <w:rsid w:val="00A272AA"/>
    <w:rsid w:val="00A3162A"/>
    <w:rsid w:val="00A33906"/>
    <w:rsid w:val="00A41F35"/>
    <w:rsid w:val="00A42BA2"/>
    <w:rsid w:val="00A43753"/>
    <w:rsid w:val="00A51DE1"/>
    <w:rsid w:val="00A52AEC"/>
    <w:rsid w:val="00A533BB"/>
    <w:rsid w:val="00A5475A"/>
    <w:rsid w:val="00A57557"/>
    <w:rsid w:val="00A60B65"/>
    <w:rsid w:val="00A619E3"/>
    <w:rsid w:val="00A63ED4"/>
    <w:rsid w:val="00A6507B"/>
    <w:rsid w:val="00A66D85"/>
    <w:rsid w:val="00A671C2"/>
    <w:rsid w:val="00A70C81"/>
    <w:rsid w:val="00A714D6"/>
    <w:rsid w:val="00A73114"/>
    <w:rsid w:val="00A7510E"/>
    <w:rsid w:val="00A77A2F"/>
    <w:rsid w:val="00A804F0"/>
    <w:rsid w:val="00A809A6"/>
    <w:rsid w:val="00A82C94"/>
    <w:rsid w:val="00A8317D"/>
    <w:rsid w:val="00A83299"/>
    <w:rsid w:val="00A85571"/>
    <w:rsid w:val="00A85BC3"/>
    <w:rsid w:val="00A86856"/>
    <w:rsid w:val="00A87111"/>
    <w:rsid w:val="00A87465"/>
    <w:rsid w:val="00A9103B"/>
    <w:rsid w:val="00A91A97"/>
    <w:rsid w:val="00A92045"/>
    <w:rsid w:val="00A92F49"/>
    <w:rsid w:val="00A93193"/>
    <w:rsid w:val="00A94892"/>
    <w:rsid w:val="00A94C9E"/>
    <w:rsid w:val="00A967D1"/>
    <w:rsid w:val="00A96BD1"/>
    <w:rsid w:val="00A96EBA"/>
    <w:rsid w:val="00AA068A"/>
    <w:rsid w:val="00AA127F"/>
    <w:rsid w:val="00AA227F"/>
    <w:rsid w:val="00AA2E5B"/>
    <w:rsid w:val="00AA3D07"/>
    <w:rsid w:val="00AA4858"/>
    <w:rsid w:val="00AA6C1F"/>
    <w:rsid w:val="00AB0A49"/>
    <w:rsid w:val="00AB2471"/>
    <w:rsid w:val="00AB2D70"/>
    <w:rsid w:val="00AB37D2"/>
    <w:rsid w:val="00AB4C5D"/>
    <w:rsid w:val="00AB4E23"/>
    <w:rsid w:val="00AB56E9"/>
    <w:rsid w:val="00AB65B3"/>
    <w:rsid w:val="00AB7206"/>
    <w:rsid w:val="00AC1240"/>
    <w:rsid w:val="00AC5162"/>
    <w:rsid w:val="00AD4398"/>
    <w:rsid w:val="00AD4D5C"/>
    <w:rsid w:val="00AD52AA"/>
    <w:rsid w:val="00AD569E"/>
    <w:rsid w:val="00AD56BD"/>
    <w:rsid w:val="00AD56DE"/>
    <w:rsid w:val="00AD6B06"/>
    <w:rsid w:val="00AD7A0C"/>
    <w:rsid w:val="00AE7726"/>
    <w:rsid w:val="00AF04D9"/>
    <w:rsid w:val="00AF2A40"/>
    <w:rsid w:val="00AF61FB"/>
    <w:rsid w:val="00AF7920"/>
    <w:rsid w:val="00B035FF"/>
    <w:rsid w:val="00B0463E"/>
    <w:rsid w:val="00B04D97"/>
    <w:rsid w:val="00B058CD"/>
    <w:rsid w:val="00B063E1"/>
    <w:rsid w:val="00B10C50"/>
    <w:rsid w:val="00B11119"/>
    <w:rsid w:val="00B12E68"/>
    <w:rsid w:val="00B14131"/>
    <w:rsid w:val="00B149E8"/>
    <w:rsid w:val="00B157FD"/>
    <w:rsid w:val="00B178ED"/>
    <w:rsid w:val="00B17B1A"/>
    <w:rsid w:val="00B20D2D"/>
    <w:rsid w:val="00B21CD3"/>
    <w:rsid w:val="00B22E5E"/>
    <w:rsid w:val="00B24973"/>
    <w:rsid w:val="00B24CC9"/>
    <w:rsid w:val="00B2599C"/>
    <w:rsid w:val="00B26ABD"/>
    <w:rsid w:val="00B30024"/>
    <w:rsid w:val="00B3102F"/>
    <w:rsid w:val="00B315FF"/>
    <w:rsid w:val="00B3248F"/>
    <w:rsid w:val="00B32B93"/>
    <w:rsid w:val="00B36353"/>
    <w:rsid w:val="00B37D55"/>
    <w:rsid w:val="00B37E25"/>
    <w:rsid w:val="00B4001A"/>
    <w:rsid w:val="00B4048F"/>
    <w:rsid w:val="00B45139"/>
    <w:rsid w:val="00B453EB"/>
    <w:rsid w:val="00B47DFD"/>
    <w:rsid w:val="00B51F33"/>
    <w:rsid w:val="00B537ED"/>
    <w:rsid w:val="00B562F5"/>
    <w:rsid w:val="00B6303D"/>
    <w:rsid w:val="00B656AE"/>
    <w:rsid w:val="00B658E8"/>
    <w:rsid w:val="00B66785"/>
    <w:rsid w:val="00B66951"/>
    <w:rsid w:val="00B7161D"/>
    <w:rsid w:val="00B718CE"/>
    <w:rsid w:val="00B73356"/>
    <w:rsid w:val="00B73B61"/>
    <w:rsid w:val="00B75817"/>
    <w:rsid w:val="00B763B5"/>
    <w:rsid w:val="00B77350"/>
    <w:rsid w:val="00B77976"/>
    <w:rsid w:val="00B83770"/>
    <w:rsid w:val="00B83A81"/>
    <w:rsid w:val="00B84872"/>
    <w:rsid w:val="00B84E07"/>
    <w:rsid w:val="00B84E8B"/>
    <w:rsid w:val="00B8538E"/>
    <w:rsid w:val="00B86743"/>
    <w:rsid w:val="00B87B7F"/>
    <w:rsid w:val="00B90030"/>
    <w:rsid w:val="00B90A24"/>
    <w:rsid w:val="00B921D6"/>
    <w:rsid w:val="00B92657"/>
    <w:rsid w:val="00B956ED"/>
    <w:rsid w:val="00B96369"/>
    <w:rsid w:val="00BA13CC"/>
    <w:rsid w:val="00BA3AF3"/>
    <w:rsid w:val="00BA4774"/>
    <w:rsid w:val="00BB0866"/>
    <w:rsid w:val="00BB27D0"/>
    <w:rsid w:val="00BB29EC"/>
    <w:rsid w:val="00BB3CA2"/>
    <w:rsid w:val="00BB5992"/>
    <w:rsid w:val="00BB6F32"/>
    <w:rsid w:val="00BB7673"/>
    <w:rsid w:val="00BB77FD"/>
    <w:rsid w:val="00BC0DA3"/>
    <w:rsid w:val="00BC1D4C"/>
    <w:rsid w:val="00BC2D2F"/>
    <w:rsid w:val="00BC4D18"/>
    <w:rsid w:val="00BC7716"/>
    <w:rsid w:val="00BC7CC1"/>
    <w:rsid w:val="00BD3AEF"/>
    <w:rsid w:val="00BD43A4"/>
    <w:rsid w:val="00BD43C2"/>
    <w:rsid w:val="00BD4BE1"/>
    <w:rsid w:val="00BD5ACD"/>
    <w:rsid w:val="00BD5E38"/>
    <w:rsid w:val="00BD7323"/>
    <w:rsid w:val="00BD7A68"/>
    <w:rsid w:val="00BE01CD"/>
    <w:rsid w:val="00BE0ECA"/>
    <w:rsid w:val="00BE2E6B"/>
    <w:rsid w:val="00BE3A09"/>
    <w:rsid w:val="00BE5B82"/>
    <w:rsid w:val="00BE6A5E"/>
    <w:rsid w:val="00BE7F1F"/>
    <w:rsid w:val="00BF0E16"/>
    <w:rsid w:val="00BF2A12"/>
    <w:rsid w:val="00BF551D"/>
    <w:rsid w:val="00BF5B15"/>
    <w:rsid w:val="00BF6942"/>
    <w:rsid w:val="00C01143"/>
    <w:rsid w:val="00C0299E"/>
    <w:rsid w:val="00C037CD"/>
    <w:rsid w:val="00C06EBF"/>
    <w:rsid w:val="00C07A16"/>
    <w:rsid w:val="00C1141B"/>
    <w:rsid w:val="00C11E62"/>
    <w:rsid w:val="00C12DEE"/>
    <w:rsid w:val="00C13332"/>
    <w:rsid w:val="00C13BA6"/>
    <w:rsid w:val="00C14926"/>
    <w:rsid w:val="00C14B3B"/>
    <w:rsid w:val="00C155EA"/>
    <w:rsid w:val="00C1563D"/>
    <w:rsid w:val="00C178CA"/>
    <w:rsid w:val="00C17908"/>
    <w:rsid w:val="00C25066"/>
    <w:rsid w:val="00C2587D"/>
    <w:rsid w:val="00C2600A"/>
    <w:rsid w:val="00C26A78"/>
    <w:rsid w:val="00C272B7"/>
    <w:rsid w:val="00C32195"/>
    <w:rsid w:val="00C33389"/>
    <w:rsid w:val="00C33E27"/>
    <w:rsid w:val="00C51AA6"/>
    <w:rsid w:val="00C53948"/>
    <w:rsid w:val="00C55254"/>
    <w:rsid w:val="00C563FF"/>
    <w:rsid w:val="00C63B41"/>
    <w:rsid w:val="00C63BEA"/>
    <w:rsid w:val="00C63E12"/>
    <w:rsid w:val="00C64598"/>
    <w:rsid w:val="00C64919"/>
    <w:rsid w:val="00C66CE4"/>
    <w:rsid w:val="00C71F56"/>
    <w:rsid w:val="00C729B8"/>
    <w:rsid w:val="00C749B3"/>
    <w:rsid w:val="00C75174"/>
    <w:rsid w:val="00C7731D"/>
    <w:rsid w:val="00C7766E"/>
    <w:rsid w:val="00C820D2"/>
    <w:rsid w:val="00C83168"/>
    <w:rsid w:val="00C8449B"/>
    <w:rsid w:val="00C85F69"/>
    <w:rsid w:val="00C86205"/>
    <w:rsid w:val="00C86922"/>
    <w:rsid w:val="00C87004"/>
    <w:rsid w:val="00C87AEB"/>
    <w:rsid w:val="00C87E3E"/>
    <w:rsid w:val="00C90092"/>
    <w:rsid w:val="00C9059D"/>
    <w:rsid w:val="00C90A83"/>
    <w:rsid w:val="00C90BF2"/>
    <w:rsid w:val="00C93200"/>
    <w:rsid w:val="00C94722"/>
    <w:rsid w:val="00C95520"/>
    <w:rsid w:val="00CA411E"/>
    <w:rsid w:val="00CA5EC4"/>
    <w:rsid w:val="00CA6C2E"/>
    <w:rsid w:val="00CA7B7C"/>
    <w:rsid w:val="00CB0A32"/>
    <w:rsid w:val="00CB1ABD"/>
    <w:rsid w:val="00CB215E"/>
    <w:rsid w:val="00CB2EB4"/>
    <w:rsid w:val="00CB3540"/>
    <w:rsid w:val="00CB77FA"/>
    <w:rsid w:val="00CC00F6"/>
    <w:rsid w:val="00CC0C0A"/>
    <w:rsid w:val="00CC1DB6"/>
    <w:rsid w:val="00CC48C2"/>
    <w:rsid w:val="00CC5038"/>
    <w:rsid w:val="00CC53DA"/>
    <w:rsid w:val="00CC784F"/>
    <w:rsid w:val="00CD22AA"/>
    <w:rsid w:val="00CD336E"/>
    <w:rsid w:val="00CD4CBE"/>
    <w:rsid w:val="00CD5C63"/>
    <w:rsid w:val="00CD5EB5"/>
    <w:rsid w:val="00CD6C2C"/>
    <w:rsid w:val="00CE1A60"/>
    <w:rsid w:val="00CE453B"/>
    <w:rsid w:val="00CE4E99"/>
    <w:rsid w:val="00CE50E2"/>
    <w:rsid w:val="00CE67C3"/>
    <w:rsid w:val="00CE6CBB"/>
    <w:rsid w:val="00CF3EC8"/>
    <w:rsid w:val="00CF3F31"/>
    <w:rsid w:val="00D03850"/>
    <w:rsid w:val="00D06D17"/>
    <w:rsid w:val="00D06F43"/>
    <w:rsid w:val="00D100AE"/>
    <w:rsid w:val="00D11CB7"/>
    <w:rsid w:val="00D12A09"/>
    <w:rsid w:val="00D12EC1"/>
    <w:rsid w:val="00D14CBF"/>
    <w:rsid w:val="00D15116"/>
    <w:rsid w:val="00D15D83"/>
    <w:rsid w:val="00D20794"/>
    <w:rsid w:val="00D20CE3"/>
    <w:rsid w:val="00D21439"/>
    <w:rsid w:val="00D21C73"/>
    <w:rsid w:val="00D24E04"/>
    <w:rsid w:val="00D2522E"/>
    <w:rsid w:val="00D262D2"/>
    <w:rsid w:val="00D2781D"/>
    <w:rsid w:val="00D30F31"/>
    <w:rsid w:val="00D31866"/>
    <w:rsid w:val="00D31C7B"/>
    <w:rsid w:val="00D334BF"/>
    <w:rsid w:val="00D36703"/>
    <w:rsid w:val="00D36ED2"/>
    <w:rsid w:val="00D406A8"/>
    <w:rsid w:val="00D42229"/>
    <w:rsid w:val="00D43963"/>
    <w:rsid w:val="00D45AE6"/>
    <w:rsid w:val="00D45B8D"/>
    <w:rsid w:val="00D51344"/>
    <w:rsid w:val="00D51D44"/>
    <w:rsid w:val="00D52602"/>
    <w:rsid w:val="00D53BE3"/>
    <w:rsid w:val="00D54757"/>
    <w:rsid w:val="00D55E0E"/>
    <w:rsid w:val="00D56572"/>
    <w:rsid w:val="00D56AD9"/>
    <w:rsid w:val="00D57AA4"/>
    <w:rsid w:val="00D6264D"/>
    <w:rsid w:val="00D63D06"/>
    <w:rsid w:val="00D64712"/>
    <w:rsid w:val="00D66AFE"/>
    <w:rsid w:val="00D67E50"/>
    <w:rsid w:val="00D7028C"/>
    <w:rsid w:val="00D70948"/>
    <w:rsid w:val="00D71A7B"/>
    <w:rsid w:val="00D72477"/>
    <w:rsid w:val="00D7342E"/>
    <w:rsid w:val="00D75184"/>
    <w:rsid w:val="00D757FC"/>
    <w:rsid w:val="00D75C30"/>
    <w:rsid w:val="00D76067"/>
    <w:rsid w:val="00D7641E"/>
    <w:rsid w:val="00D76616"/>
    <w:rsid w:val="00D8003D"/>
    <w:rsid w:val="00D80D32"/>
    <w:rsid w:val="00D81481"/>
    <w:rsid w:val="00D81B3C"/>
    <w:rsid w:val="00D833E9"/>
    <w:rsid w:val="00D84D44"/>
    <w:rsid w:val="00D94B43"/>
    <w:rsid w:val="00D958CA"/>
    <w:rsid w:val="00D9653C"/>
    <w:rsid w:val="00DA15D2"/>
    <w:rsid w:val="00DA6466"/>
    <w:rsid w:val="00DB0A09"/>
    <w:rsid w:val="00DB0F33"/>
    <w:rsid w:val="00DB2B62"/>
    <w:rsid w:val="00DB38D5"/>
    <w:rsid w:val="00DB4BB2"/>
    <w:rsid w:val="00DC3ACA"/>
    <w:rsid w:val="00DC3E6E"/>
    <w:rsid w:val="00DC49F6"/>
    <w:rsid w:val="00DC57DF"/>
    <w:rsid w:val="00DD10E5"/>
    <w:rsid w:val="00DD2BE0"/>
    <w:rsid w:val="00DD321E"/>
    <w:rsid w:val="00DD4069"/>
    <w:rsid w:val="00DD4122"/>
    <w:rsid w:val="00DD5302"/>
    <w:rsid w:val="00DD6996"/>
    <w:rsid w:val="00DD6BFF"/>
    <w:rsid w:val="00DE0C65"/>
    <w:rsid w:val="00DE1C9F"/>
    <w:rsid w:val="00DE2CB5"/>
    <w:rsid w:val="00DE3A99"/>
    <w:rsid w:val="00DE5862"/>
    <w:rsid w:val="00DF330A"/>
    <w:rsid w:val="00DF5AD9"/>
    <w:rsid w:val="00E015FC"/>
    <w:rsid w:val="00E0298E"/>
    <w:rsid w:val="00E05153"/>
    <w:rsid w:val="00E06E55"/>
    <w:rsid w:val="00E112CC"/>
    <w:rsid w:val="00E11ABD"/>
    <w:rsid w:val="00E122C8"/>
    <w:rsid w:val="00E12E4F"/>
    <w:rsid w:val="00E1312A"/>
    <w:rsid w:val="00E13940"/>
    <w:rsid w:val="00E15699"/>
    <w:rsid w:val="00E174B4"/>
    <w:rsid w:val="00E219BF"/>
    <w:rsid w:val="00E22A22"/>
    <w:rsid w:val="00E23042"/>
    <w:rsid w:val="00E2469C"/>
    <w:rsid w:val="00E24A1B"/>
    <w:rsid w:val="00E258AE"/>
    <w:rsid w:val="00E25D6A"/>
    <w:rsid w:val="00E305CB"/>
    <w:rsid w:val="00E30AD8"/>
    <w:rsid w:val="00E31F2D"/>
    <w:rsid w:val="00E32363"/>
    <w:rsid w:val="00E326F4"/>
    <w:rsid w:val="00E32CD0"/>
    <w:rsid w:val="00E4012F"/>
    <w:rsid w:val="00E40FCD"/>
    <w:rsid w:val="00E41AAD"/>
    <w:rsid w:val="00E42AA7"/>
    <w:rsid w:val="00E43745"/>
    <w:rsid w:val="00E45DA5"/>
    <w:rsid w:val="00E4636B"/>
    <w:rsid w:val="00E46C59"/>
    <w:rsid w:val="00E60FE1"/>
    <w:rsid w:val="00E61FB3"/>
    <w:rsid w:val="00E639FE"/>
    <w:rsid w:val="00E667DA"/>
    <w:rsid w:val="00E6767C"/>
    <w:rsid w:val="00E700AB"/>
    <w:rsid w:val="00E70674"/>
    <w:rsid w:val="00E7084C"/>
    <w:rsid w:val="00E70CC6"/>
    <w:rsid w:val="00E70FB0"/>
    <w:rsid w:val="00E71DDB"/>
    <w:rsid w:val="00E722E6"/>
    <w:rsid w:val="00E72BAA"/>
    <w:rsid w:val="00E72CF5"/>
    <w:rsid w:val="00E73C68"/>
    <w:rsid w:val="00E773F1"/>
    <w:rsid w:val="00E77470"/>
    <w:rsid w:val="00E80661"/>
    <w:rsid w:val="00E84786"/>
    <w:rsid w:val="00E85B67"/>
    <w:rsid w:val="00E862A5"/>
    <w:rsid w:val="00E87A7D"/>
    <w:rsid w:val="00E907BF"/>
    <w:rsid w:val="00E90A54"/>
    <w:rsid w:val="00E91684"/>
    <w:rsid w:val="00E922A4"/>
    <w:rsid w:val="00E924BB"/>
    <w:rsid w:val="00E93586"/>
    <w:rsid w:val="00E956EA"/>
    <w:rsid w:val="00E96328"/>
    <w:rsid w:val="00E975CE"/>
    <w:rsid w:val="00EA239F"/>
    <w:rsid w:val="00EA509E"/>
    <w:rsid w:val="00EA600E"/>
    <w:rsid w:val="00EB0FF3"/>
    <w:rsid w:val="00EB1DDC"/>
    <w:rsid w:val="00EB2BF0"/>
    <w:rsid w:val="00EB47B3"/>
    <w:rsid w:val="00EB6B48"/>
    <w:rsid w:val="00EB778E"/>
    <w:rsid w:val="00EC0E5C"/>
    <w:rsid w:val="00EC2A3D"/>
    <w:rsid w:val="00EC2E78"/>
    <w:rsid w:val="00EC5074"/>
    <w:rsid w:val="00ED0777"/>
    <w:rsid w:val="00ED0D43"/>
    <w:rsid w:val="00ED0D64"/>
    <w:rsid w:val="00ED2504"/>
    <w:rsid w:val="00ED392D"/>
    <w:rsid w:val="00ED4E70"/>
    <w:rsid w:val="00ED586E"/>
    <w:rsid w:val="00ED637E"/>
    <w:rsid w:val="00EE104B"/>
    <w:rsid w:val="00EE2C64"/>
    <w:rsid w:val="00EE343E"/>
    <w:rsid w:val="00EE36AC"/>
    <w:rsid w:val="00EE3E1A"/>
    <w:rsid w:val="00EE4E3E"/>
    <w:rsid w:val="00EE54CF"/>
    <w:rsid w:val="00EE68F1"/>
    <w:rsid w:val="00EE78CB"/>
    <w:rsid w:val="00EF1BD0"/>
    <w:rsid w:val="00EF4EAF"/>
    <w:rsid w:val="00EF5AF7"/>
    <w:rsid w:val="00EF5BA6"/>
    <w:rsid w:val="00F00D5B"/>
    <w:rsid w:val="00F06E65"/>
    <w:rsid w:val="00F07BB7"/>
    <w:rsid w:val="00F1262A"/>
    <w:rsid w:val="00F14701"/>
    <w:rsid w:val="00F20CB9"/>
    <w:rsid w:val="00F224C0"/>
    <w:rsid w:val="00F227C2"/>
    <w:rsid w:val="00F23DA5"/>
    <w:rsid w:val="00F26391"/>
    <w:rsid w:val="00F268D2"/>
    <w:rsid w:val="00F3099B"/>
    <w:rsid w:val="00F31DC1"/>
    <w:rsid w:val="00F32F17"/>
    <w:rsid w:val="00F33254"/>
    <w:rsid w:val="00F33977"/>
    <w:rsid w:val="00F349CD"/>
    <w:rsid w:val="00F36291"/>
    <w:rsid w:val="00F36CEC"/>
    <w:rsid w:val="00F40C7F"/>
    <w:rsid w:val="00F44FE4"/>
    <w:rsid w:val="00F4542B"/>
    <w:rsid w:val="00F47C03"/>
    <w:rsid w:val="00F508A6"/>
    <w:rsid w:val="00F53560"/>
    <w:rsid w:val="00F53C4F"/>
    <w:rsid w:val="00F571CB"/>
    <w:rsid w:val="00F650D5"/>
    <w:rsid w:val="00F664CE"/>
    <w:rsid w:val="00F73ED3"/>
    <w:rsid w:val="00F8053B"/>
    <w:rsid w:val="00F814FF"/>
    <w:rsid w:val="00F82EB8"/>
    <w:rsid w:val="00F83C2B"/>
    <w:rsid w:val="00F86711"/>
    <w:rsid w:val="00F874E2"/>
    <w:rsid w:val="00F918DE"/>
    <w:rsid w:val="00F91EF0"/>
    <w:rsid w:val="00F94830"/>
    <w:rsid w:val="00F94BBD"/>
    <w:rsid w:val="00F95D41"/>
    <w:rsid w:val="00FA2D72"/>
    <w:rsid w:val="00FA2F92"/>
    <w:rsid w:val="00FA660C"/>
    <w:rsid w:val="00FA6F09"/>
    <w:rsid w:val="00FB06D2"/>
    <w:rsid w:val="00FB117E"/>
    <w:rsid w:val="00FB492B"/>
    <w:rsid w:val="00FB5A4C"/>
    <w:rsid w:val="00FC0CC2"/>
    <w:rsid w:val="00FC145E"/>
    <w:rsid w:val="00FC4466"/>
    <w:rsid w:val="00FC53E5"/>
    <w:rsid w:val="00FD10E3"/>
    <w:rsid w:val="00FD2F62"/>
    <w:rsid w:val="00FD37C0"/>
    <w:rsid w:val="00FD4130"/>
    <w:rsid w:val="00FD4E64"/>
    <w:rsid w:val="00FD69B9"/>
    <w:rsid w:val="00FD7012"/>
    <w:rsid w:val="00FD71EE"/>
    <w:rsid w:val="00FD760C"/>
    <w:rsid w:val="00FD7FE1"/>
    <w:rsid w:val="00FE10FE"/>
    <w:rsid w:val="00FE31EB"/>
    <w:rsid w:val="00FE6D2F"/>
    <w:rsid w:val="00FE7544"/>
    <w:rsid w:val="00FF0E0D"/>
    <w:rsid w:val="00FF1B67"/>
    <w:rsid w:val="00FF34B4"/>
    <w:rsid w:val="00FF607C"/>
    <w:rsid w:val="00FF7F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55BB8D"/>
  <w15:docId w15:val="{C9C32ABC-C06E-4594-8761-3444EE2C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4FB"/>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5508FC"/>
    <w:pPr>
      <w:numPr>
        <w:numId w:val="1"/>
      </w:numPr>
      <w:outlineLvl w:val="0"/>
    </w:pPr>
    <w:rPr>
      <w:kern w:val="28"/>
    </w:rPr>
  </w:style>
  <w:style w:type="paragraph" w:styleId="Heading2">
    <w:name w:val="heading 2"/>
    <w:basedOn w:val="Normal"/>
    <w:next w:val="Normal"/>
    <w:link w:val="Heading2Char"/>
    <w:qFormat/>
    <w:rsid w:val="00805016"/>
    <w:pPr>
      <w:numPr>
        <w:ilvl w:val="1"/>
        <w:numId w:val="1"/>
      </w:numPr>
      <w:ind w:left="720" w:hanging="720"/>
      <w:outlineLvl w:val="1"/>
    </w:pPr>
  </w:style>
  <w:style w:type="paragraph" w:styleId="Heading3">
    <w:name w:val="heading 3"/>
    <w:basedOn w:val="Normal"/>
    <w:next w:val="Normal"/>
    <w:link w:val="Heading3Char"/>
    <w:qFormat/>
    <w:rsid w:val="00805016"/>
    <w:pPr>
      <w:numPr>
        <w:ilvl w:val="2"/>
        <w:numId w:val="1"/>
      </w:numPr>
      <w:ind w:left="720" w:hanging="720"/>
      <w:outlineLvl w:val="2"/>
    </w:pPr>
  </w:style>
  <w:style w:type="paragraph" w:styleId="Heading4">
    <w:name w:val="heading 4"/>
    <w:basedOn w:val="Normal"/>
    <w:next w:val="Normal"/>
    <w:link w:val="Heading4Char"/>
    <w:qFormat/>
    <w:rsid w:val="00805016"/>
    <w:pPr>
      <w:numPr>
        <w:ilvl w:val="3"/>
        <w:numId w:val="1"/>
      </w:numPr>
      <w:ind w:left="720" w:hanging="720"/>
      <w:outlineLvl w:val="3"/>
    </w:pPr>
  </w:style>
  <w:style w:type="paragraph" w:styleId="Heading5">
    <w:name w:val="heading 5"/>
    <w:basedOn w:val="Normal"/>
    <w:next w:val="Normal"/>
    <w:link w:val="Heading5Char"/>
    <w:qFormat/>
    <w:rsid w:val="00805016"/>
    <w:pPr>
      <w:numPr>
        <w:ilvl w:val="4"/>
        <w:numId w:val="1"/>
      </w:numPr>
      <w:ind w:left="720" w:hanging="720"/>
      <w:outlineLvl w:val="4"/>
    </w:pPr>
  </w:style>
  <w:style w:type="paragraph" w:styleId="Heading6">
    <w:name w:val="heading 6"/>
    <w:basedOn w:val="Normal"/>
    <w:next w:val="Normal"/>
    <w:link w:val="Heading6Char"/>
    <w:qFormat/>
    <w:rsid w:val="00805016"/>
    <w:pPr>
      <w:numPr>
        <w:ilvl w:val="5"/>
        <w:numId w:val="1"/>
      </w:numPr>
      <w:ind w:left="720" w:hanging="720"/>
      <w:outlineLvl w:val="5"/>
    </w:pPr>
  </w:style>
  <w:style w:type="paragraph" w:styleId="Heading7">
    <w:name w:val="heading 7"/>
    <w:basedOn w:val="Normal"/>
    <w:next w:val="Normal"/>
    <w:link w:val="Heading7Char"/>
    <w:qFormat/>
    <w:rsid w:val="00805016"/>
    <w:pPr>
      <w:numPr>
        <w:ilvl w:val="6"/>
        <w:numId w:val="1"/>
      </w:numPr>
      <w:ind w:left="720" w:hanging="720"/>
      <w:outlineLvl w:val="6"/>
    </w:pPr>
  </w:style>
  <w:style w:type="paragraph" w:styleId="Heading8">
    <w:name w:val="heading 8"/>
    <w:basedOn w:val="Normal"/>
    <w:next w:val="Normal"/>
    <w:link w:val="Heading8Char"/>
    <w:qFormat/>
    <w:rsid w:val="00805016"/>
    <w:pPr>
      <w:numPr>
        <w:ilvl w:val="7"/>
        <w:numId w:val="1"/>
      </w:numPr>
      <w:ind w:left="720" w:hanging="720"/>
      <w:outlineLvl w:val="7"/>
    </w:pPr>
  </w:style>
  <w:style w:type="paragraph" w:styleId="Heading9">
    <w:name w:val="heading 9"/>
    <w:basedOn w:val="Normal"/>
    <w:next w:val="Normal"/>
    <w:link w:val="Heading9Char"/>
    <w:qFormat/>
    <w:rsid w:val="0080501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DBB"/>
    <w:rPr>
      <w:kern w:val="28"/>
      <w:sz w:val="22"/>
      <w:lang w:val="en-GB" w:eastAsia="en-US"/>
    </w:rPr>
  </w:style>
  <w:style w:type="character" w:customStyle="1" w:styleId="Heading2Char">
    <w:name w:val="Heading 2 Char"/>
    <w:basedOn w:val="DefaultParagraphFont"/>
    <w:link w:val="Heading2"/>
    <w:rsid w:val="00816140"/>
    <w:rPr>
      <w:sz w:val="22"/>
      <w:lang w:val="en-GB" w:eastAsia="en-US"/>
    </w:rPr>
  </w:style>
  <w:style w:type="character" w:customStyle="1" w:styleId="Heading3Char">
    <w:name w:val="Heading 3 Char"/>
    <w:basedOn w:val="DefaultParagraphFont"/>
    <w:link w:val="Heading3"/>
    <w:rsid w:val="000F5585"/>
    <w:rPr>
      <w:sz w:val="22"/>
      <w:lang w:val="en-GB" w:eastAsia="en-US"/>
    </w:rPr>
  </w:style>
  <w:style w:type="character" w:customStyle="1" w:styleId="Heading4Char">
    <w:name w:val="Heading 4 Char"/>
    <w:basedOn w:val="DefaultParagraphFont"/>
    <w:link w:val="Heading4"/>
    <w:rsid w:val="00D77A9B"/>
    <w:rPr>
      <w:sz w:val="22"/>
      <w:lang w:val="en-GB" w:eastAsia="en-US"/>
    </w:rPr>
  </w:style>
  <w:style w:type="character" w:customStyle="1" w:styleId="Heading5Char">
    <w:name w:val="Heading 5 Char"/>
    <w:basedOn w:val="DefaultParagraphFont"/>
    <w:link w:val="Heading5"/>
    <w:rsid w:val="00D77A9B"/>
    <w:rPr>
      <w:sz w:val="22"/>
      <w:lang w:val="en-GB" w:eastAsia="en-US"/>
    </w:rPr>
  </w:style>
  <w:style w:type="character" w:customStyle="1" w:styleId="Heading6Char">
    <w:name w:val="Heading 6 Char"/>
    <w:basedOn w:val="DefaultParagraphFont"/>
    <w:link w:val="Heading6"/>
    <w:rsid w:val="00D77A9B"/>
    <w:rPr>
      <w:sz w:val="22"/>
      <w:lang w:val="en-GB" w:eastAsia="en-US"/>
    </w:rPr>
  </w:style>
  <w:style w:type="character" w:customStyle="1" w:styleId="Heading7Char">
    <w:name w:val="Heading 7 Char"/>
    <w:basedOn w:val="DefaultParagraphFont"/>
    <w:link w:val="Heading7"/>
    <w:rsid w:val="00D77A9B"/>
    <w:rPr>
      <w:sz w:val="22"/>
      <w:lang w:val="en-GB" w:eastAsia="en-US"/>
    </w:rPr>
  </w:style>
  <w:style w:type="character" w:customStyle="1" w:styleId="Heading8Char">
    <w:name w:val="Heading 8 Char"/>
    <w:basedOn w:val="DefaultParagraphFont"/>
    <w:link w:val="Heading8"/>
    <w:rsid w:val="00D77A9B"/>
    <w:rPr>
      <w:sz w:val="22"/>
      <w:lang w:val="en-GB" w:eastAsia="en-US"/>
    </w:rPr>
  </w:style>
  <w:style w:type="character" w:customStyle="1" w:styleId="Heading9Char">
    <w:name w:val="Heading 9 Char"/>
    <w:basedOn w:val="DefaultParagraphFont"/>
    <w:link w:val="Heading9"/>
    <w:rsid w:val="00D77A9B"/>
    <w:rPr>
      <w:sz w:val="22"/>
      <w:lang w:val="en-GB" w:eastAsia="en-US"/>
    </w:rPr>
  </w:style>
  <w:style w:type="paragraph" w:styleId="Footer">
    <w:name w:val="footer"/>
    <w:basedOn w:val="Normal"/>
    <w:link w:val="FooterChar"/>
    <w:rsid w:val="00805016"/>
  </w:style>
  <w:style w:type="character" w:customStyle="1" w:styleId="FooterChar">
    <w:name w:val="Footer Char"/>
    <w:basedOn w:val="DefaultParagraphFont"/>
    <w:link w:val="Footer"/>
    <w:rsid w:val="00D77A9B"/>
    <w:rPr>
      <w:sz w:val="22"/>
      <w:lang w:val="en-GB" w:eastAsia="en-US"/>
    </w:rPr>
  </w:style>
  <w:style w:type="paragraph" w:styleId="FootnoteText">
    <w:name w:val="footnote text"/>
    <w:aliases w:val="AF Fußnotentext,Fußnote"/>
    <w:basedOn w:val="Normal"/>
    <w:link w:val="FootnoteTextChar"/>
    <w:qFormat/>
    <w:rsid w:val="005508FC"/>
    <w:pPr>
      <w:keepLines/>
      <w:spacing w:after="60" w:line="240" w:lineRule="auto"/>
      <w:ind w:left="720" w:hanging="720"/>
    </w:pPr>
    <w:rPr>
      <w:sz w:val="16"/>
    </w:rPr>
  </w:style>
  <w:style w:type="character" w:customStyle="1" w:styleId="FootnoteTextChar">
    <w:name w:val="Footnote Text Char"/>
    <w:aliases w:val="AF Fußnotentext Char,Fußnote Char"/>
    <w:basedOn w:val="DefaultParagraphFont"/>
    <w:link w:val="FootnoteText"/>
    <w:rsid w:val="00D77A9B"/>
    <w:rPr>
      <w:sz w:val="16"/>
      <w:lang w:val="en-GB" w:eastAsia="en-US"/>
    </w:rPr>
  </w:style>
  <w:style w:type="paragraph" w:styleId="Header">
    <w:name w:val="header"/>
    <w:basedOn w:val="Normal"/>
    <w:link w:val="HeaderChar"/>
    <w:qFormat/>
    <w:rsid w:val="005508FC"/>
  </w:style>
  <w:style w:type="character" w:customStyle="1" w:styleId="HeaderChar">
    <w:name w:val="Header Char"/>
    <w:basedOn w:val="DefaultParagraphFont"/>
    <w:link w:val="Header"/>
    <w:rsid w:val="00D77A9B"/>
    <w:rPr>
      <w:sz w:val="22"/>
      <w:lang w:val="en-GB" w:eastAsia="en-US"/>
    </w:rPr>
  </w:style>
  <w:style w:type="paragraph" w:styleId="BalloonText">
    <w:name w:val="Balloon Text"/>
    <w:basedOn w:val="Normal"/>
    <w:link w:val="BalloonTextChar"/>
    <w:rsid w:val="005B2CFF"/>
    <w:pPr>
      <w:spacing w:line="240" w:lineRule="auto"/>
    </w:pPr>
    <w:rPr>
      <w:rFonts w:ascii="Tahoma" w:hAnsi="Tahoma" w:cs="Tahoma"/>
      <w:sz w:val="16"/>
      <w:szCs w:val="16"/>
    </w:rPr>
  </w:style>
  <w:style w:type="character" w:styleId="FootnoteReference">
    <w:name w:val="footnote reference"/>
    <w:aliases w:val="number"/>
    <w:basedOn w:val="DefaultParagraphFont"/>
    <w:qFormat/>
    <w:rsid w:val="005508FC"/>
    <w:rPr>
      <w:sz w:val="24"/>
      <w:vertAlign w:val="superscript"/>
    </w:rPr>
  </w:style>
  <w:style w:type="character" w:customStyle="1" w:styleId="BalloonTextChar">
    <w:name w:val="Balloon Text Char"/>
    <w:basedOn w:val="DefaultParagraphFont"/>
    <w:link w:val="BalloonText"/>
    <w:rsid w:val="005B2CFF"/>
    <w:rPr>
      <w:rFonts w:ascii="Tahoma" w:hAnsi="Tahoma" w:cs="Tahoma"/>
      <w:sz w:val="16"/>
      <w:szCs w:val="16"/>
      <w:lang w:val="en-GB" w:eastAsia="en-US"/>
    </w:rPr>
  </w:style>
  <w:style w:type="character" w:styleId="Hyperlink">
    <w:name w:val="Hyperlink"/>
    <w:uiPriority w:val="99"/>
    <w:rsid w:val="002D22DF"/>
    <w:rPr>
      <w:color w:val="0000FF"/>
      <w:u w:val="single"/>
    </w:rPr>
  </w:style>
  <w:style w:type="character" w:styleId="FollowedHyperlink">
    <w:name w:val="FollowedHyperlink"/>
    <w:rsid w:val="00383150"/>
    <w:rPr>
      <w:color w:val="800080"/>
      <w:u w:val="single"/>
    </w:rPr>
  </w:style>
  <w:style w:type="paragraph" w:customStyle="1" w:styleId="LOGO">
    <w:name w:val="LOGO"/>
    <w:basedOn w:val="Normal"/>
    <w:rsid w:val="00383150"/>
    <w:pPr>
      <w:jc w:val="center"/>
    </w:pPr>
    <w:rPr>
      <w:rFonts w:ascii="Arial" w:hAnsi="Arial"/>
      <w:b/>
      <w:i/>
      <w:sz w:val="20"/>
    </w:rPr>
  </w:style>
  <w:style w:type="paragraph" w:styleId="ListParagraph">
    <w:name w:val="List Paragraph"/>
    <w:basedOn w:val="Normal"/>
    <w:uiPriority w:val="34"/>
    <w:qFormat/>
    <w:rsid w:val="00383150"/>
    <w:pPr>
      <w:ind w:left="708"/>
    </w:pPr>
  </w:style>
  <w:style w:type="paragraph" w:styleId="EndnoteText">
    <w:name w:val="endnote text"/>
    <w:basedOn w:val="Normal"/>
    <w:link w:val="EndnoteTextChar"/>
    <w:uiPriority w:val="99"/>
    <w:unhideWhenUsed/>
    <w:rsid w:val="00383150"/>
    <w:rPr>
      <w:sz w:val="20"/>
    </w:rPr>
  </w:style>
  <w:style w:type="character" w:customStyle="1" w:styleId="EndnoteTextChar">
    <w:name w:val="Endnote Text Char"/>
    <w:basedOn w:val="DefaultParagraphFont"/>
    <w:link w:val="EndnoteText"/>
    <w:uiPriority w:val="99"/>
    <w:rsid w:val="00383150"/>
    <w:rPr>
      <w:lang w:val="en-GB" w:eastAsia="en-US"/>
    </w:rPr>
  </w:style>
  <w:style w:type="character" w:styleId="EndnoteReference">
    <w:name w:val="endnote reference"/>
    <w:uiPriority w:val="99"/>
    <w:unhideWhenUsed/>
    <w:rsid w:val="00383150"/>
    <w:rPr>
      <w:vertAlign w:val="superscript"/>
    </w:rPr>
  </w:style>
  <w:style w:type="paragraph" w:styleId="Revision">
    <w:name w:val="Revision"/>
    <w:hidden/>
    <w:uiPriority w:val="99"/>
    <w:semiHidden/>
    <w:rsid w:val="00383150"/>
    <w:rPr>
      <w:sz w:val="22"/>
      <w:lang w:val="en-GB" w:eastAsia="en-US"/>
    </w:rPr>
  </w:style>
  <w:style w:type="character" w:styleId="Strong">
    <w:name w:val="Strong"/>
    <w:basedOn w:val="DefaultParagraphFont"/>
    <w:uiPriority w:val="22"/>
    <w:qFormat/>
    <w:rsid w:val="00D72477"/>
    <w:rPr>
      <w:b/>
      <w:bCs/>
    </w:rPr>
  </w:style>
  <w:style w:type="paragraph" w:styleId="TOC1">
    <w:name w:val="toc 1"/>
    <w:basedOn w:val="Normal"/>
    <w:next w:val="Normal"/>
    <w:autoRedefine/>
    <w:uiPriority w:val="39"/>
    <w:rsid w:val="005F0426"/>
    <w:pPr>
      <w:tabs>
        <w:tab w:val="left" w:pos="440"/>
        <w:tab w:val="right" w:leader="dot" w:pos="9016"/>
      </w:tabs>
      <w:spacing w:after="100"/>
    </w:pPr>
  </w:style>
  <w:style w:type="paragraph" w:styleId="TOC2">
    <w:name w:val="toc 2"/>
    <w:basedOn w:val="Normal"/>
    <w:next w:val="Normal"/>
    <w:autoRedefine/>
    <w:uiPriority w:val="39"/>
    <w:rsid w:val="00977EC1"/>
    <w:pPr>
      <w:spacing w:after="100"/>
      <w:ind w:left="220"/>
    </w:pPr>
  </w:style>
  <w:style w:type="paragraph" w:styleId="TOC3">
    <w:name w:val="toc 3"/>
    <w:basedOn w:val="Normal"/>
    <w:next w:val="Normal"/>
    <w:autoRedefine/>
    <w:uiPriority w:val="39"/>
    <w:rsid w:val="00977EC1"/>
    <w:pPr>
      <w:spacing w:after="100"/>
      <w:ind w:left="440"/>
    </w:pPr>
  </w:style>
  <w:style w:type="table" w:styleId="TableGrid">
    <w:name w:val="Table Grid"/>
    <w:basedOn w:val="TableNormal"/>
    <w:rsid w:val="00CC7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45DA5"/>
    <w:rPr>
      <w:sz w:val="16"/>
      <w:szCs w:val="16"/>
    </w:rPr>
  </w:style>
  <w:style w:type="paragraph" w:styleId="CommentText">
    <w:name w:val="annotation text"/>
    <w:basedOn w:val="Normal"/>
    <w:link w:val="CommentTextChar"/>
    <w:rsid w:val="00E45DA5"/>
    <w:pPr>
      <w:spacing w:line="240" w:lineRule="auto"/>
    </w:pPr>
    <w:rPr>
      <w:sz w:val="20"/>
    </w:rPr>
  </w:style>
  <w:style w:type="character" w:customStyle="1" w:styleId="CommentTextChar">
    <w:name w:val="Comment Text Char"/>
    <w:basedOn w:val="DefaultParagraphFont"/>
    <w:link w:val="CommentText"/>
    <w:rsid w:val="00E45DA5"/>
    <w:rPr>
      <w:lang w:val="en-GB" w:eastAsia="en-US"/>
    </w:rPr>
  </w:style>
  <w:style w:type="paragraph" w:styleId="CommentSubject">
    <w:name w:val="annotation subject"/>
    <w:basedOn w:val="CommentText"/>
    <w:next w:val="CommentText"/>
    <w:link w:val="CommentSubjectChar"/>
    <w:rsid w:val="00E45DA5"/>
    <w:rPr>
      <w:b/>
      <w:bCs/>
    </w:rPr>
  </w:style>
  <w:style w:type="character" w:customStyle="1" w:styleId="CommentSubjectChar">
    <w:name w:val="Comment Subject Char"/>
    <w:basedOn w:val="CommentTextChar"/>
    <w:link w:val="CommentSubject"/>
    <w:rsid w:val="00E45DA5"/>
    <w:rPr>
      <w:b/>
      <w:bCs/>
      <w:lang w:val="en-GB" w:eastAsia="en-US"/>
    </w:rPr>
  </w:style>
  <w:style w:type="character" w:customStyle="1" w:styleId="qa-opinion-title">
    <w:name w:val="qa-opinion-title"/>
    <w:basedOn w:val="DefaultParagraphFont"/>
    <w:rsid w:val="009957DA"/>
  </w:style>
  <w:style w:type="paragraph" w:customStyle="1" w:styleId="Default">
    <w:name w:val="Default"/>
    <w:rsid w:val="00F53560"/>
    <w:pPr>
      <w:autoSpaceDE w:val="0"/>
      <w:autoSpaceDN w:val="0"/>
      <w:adjustRightInd w:val="0"/>
    </w:pPr>
    <w:rPr>
      <w:color w:val="000000"/>
      <w:sz w:val="24"/>
      <w:szCs w:val="24"/>
    </w:rPr>
  </w:style>
  <w:style w:type="paragraph" w:styleId="TOCHeading">
    <w:name w:val="TOC Heading"/>
    <w:basedOn w:val="Heading1"/>
    <w:next w:val="Normal"/>
    <w:uiPriority w:val="39"/>
    <w:semiHidden/>
    <w:unhideWhenUsed/>
    <w:qFormat/>
    <w:rsid w:val="005F0426"/>
    <w:pPr>
      <w:keepNext/>
      <w:keepLines/>
      <w:numPr>
        <w:numId w:val="0"/>
      </w:numPr>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kern w:val="0"/>
      <w:sz w:val="28"/>
      <w:szCs w:val="28"/>
      <w:lang w:val="en-US" w:eastAsia="ja-JP"/>
    </w:rPr>
  </w:style>
  <w:style w:type="character" w:styleId="Emphasis">
    <w:name w:val="Emphasis"/>
    <w:basedOn w:val="DefaultParagraphFont"/>
    <w:uiPriority w:val="20"/>
    <w:qFormat/>
    <w:rsid w:val="007A6F9B"/>
    <w:rPr>
      <w:b/>
      <w:bCs/>
      <w:i w:val="0"/>
      <w:iCs w:val="0"/>
    </w:rPr>
  </w:style>
  <w:style w:type="character" w:customStyle="1" w:styleId="st1">
    <w:name w:val="st1"/>
    <w:basedOn w:val="DefaultParagraphFont"/>
    <w:rsid w:val="007A6F9B"/>
  </w:style>
  <w:style w:type="paragraph" w:styleId="PlainText">
    <w:name w:val="Plain Text"/>
    <w:basedOn w:val="Normal"/>
    <w:link w:val="PlainTextChar"/>
    <w:uiPriority w:val="99"/>
    <w:unhideWhenUsed/>
    <w:rsid w:val="00B96369"/>
    <w:pPr>
      <w:overflowPunct/>
      <w:autoSpaceDE/>
      <w:autoSpaceDN/>
      <w:adjustRightInd/>
      <w:spacing w:line="240" w:lineRule="auto"/>
      <w:jc w:val="left"/>
      <w:textAlignment w:val="auto"/>
    </w:pPr>
    <w:rPr>
      <w:rFonts w:ascii="Calibri" w:eastAsiaTheme="minorHAnsi" w:hAnsi="Calibri"/>
      <w:szCs w:val="22"/>
      <w:lang w:val="fr-BE"/>
    </w:rPr>
  </w:style>
  <w:style w:type="character" w:customStyle="1" w:styleId="PlainTextChar">
    <w:name w:val="Plain Text Char"/>
    <w:basedOn w:val="DefaultParagraphFont"/>
    <w:link w:val="PlainText"/>
    <w:uiPriority w:val="99"/>
    <w:rsid w:val="00B9636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0357">
      <w:bodyDiv w:val="1"/>
      <w:marLeft w:val="0"/>
      <w:marRight w:val="0"/>
      <w:marTop w:val="0"/>
      <w:marBottom w:val="900"/>
      <w:divBdr>
        <w:top w:val="none" w:sz="0" w:space="0" w:color="auto"/>
        <w:left w:val="none" w:sz="0" w:space="0" w:color="auto"/>
        <w:bottom w:val="none" w:sz="0" w:space="0" w:color="auto"/>
        <w:right w:val="none" w:sz="0" w:space="0" w:color="auto"/>
      </w:divBdr>
      <w:divsChild>
        <w:div w:id="1577203202">
          <w:marLeft w:val="0"/>
          <w:marRight w:val="0"/>
          <w:marTop w:val="0"/>
          <w:marBottom w:val="0"/>
          <w:divBdr>
            <w:top w:val="none" w:sz="0" w:space="0" w:color="auto"/>
            <w:left w:val="none" w:sz="0" w:space="0" w:color="auto"/>
            <w:bottom w:val="none" w:sz="0" w:space="0" w:color="auto"/>
            <w:right w:val="none" w:sz="0" w:space="0" w:color="auto"/>
          </w:divBdr>
          <w:divsChild>
            <w:div w:id="1773435615">
              <w:marLeft w:val="0"/>
              <w:marRight w:val="0"/>
              <w:marTop w:val="0"/>
              <w:marBottom w:val="0"/>
              <w:divBdr>
                <w:top w:val="none" w:sz="0" w:space="0" w:color="auto"/>
                <w:left w:val="none" w:sz="0" w:space="0" w:color="auto"/>
                <w:bottom w:val="none" w:sz="0" w:space="0" w:color="auto"/>
                <w:right w:val="none" w:sz="0" w:space="0" w:color="auto"/>
              </w:divBdr>
              <w:divsChild>
                <w:div w:id="1467165808">
                  <w:marLeft w:val="0"/>
                  <w:marRight w:val="0"/>
                  <w:marTop w:val="0"/>
                  <w:marBottom w:val="0"/>
                  <w:divBdr>
                    <w:top w:val="none" w:sz="0" w:space="0" w:color="auto"/>
                    <w:left w:val="none" w:sz="0" w:space="0" w:color="auto"/>
                    <w:bottom w:val="none" w:sz="0" w:space="0" w:color="auto"/>
                    <w:right w:val="none" w:sz="0" w:space="0" w:color="auto"/>
                  </w:divBdr>
                  <w:divsChild>
                    <w:div w:id="1805270910">
                      <w:marLeft w:val="0"/>
                      <w:marRight w:val="0"/>
                      <w:marTop w:val="0"/>
                      <w:marBottom w:val="0"/>
                      <w:divBdr>
                        <w:top w:val="none" w:sz="0" w:space="0" w:color="auto"/>
                        <w:left w:val="none" w:sz="0" w:space="0" w:color="auto"/>
                        <w:bottom w:val="none" w:sz="0" w:space="0" w:color="auto"/>
                        <w:right w:val="none" w:sz="0" w:space="0" w:color="auto"/>
                      </w:divBdr>
                      <w:divsChild>
                        <w:div w:id="2042775610">
                          <w:marLeft w:val="0"/>
                          <w:marRight w:val="0"/>
                          <w:marTop w:val="0"/>
                          <w:marBottom w:val="0"/>
                          <w:divBdr>
                            <w:top w:val="none" w:sz="0" w:space="0" w:color="auto"/>
                            <w:left w:val="none" w:sz="0" w:space="0" w:color="auto"/>
                            <w:bottom w:val="none" w:sz="0" w:space="0" w:color="auto"/>
                            <w:right w:val="none" w:sz="0" w:space="0" w:color="auto"/>
                          </w:divBdr>
                          <w:divsChild>
                            <w:div w:id="1793131977">
                              <w:marLeft w:val="-225"/>
                              <w:marRight w:val="-225"/>
                              <w:marTop w:val="0"/>
                              <w:marBottom w:val="0"/>
                              <w:divBdr>
                                <w:top w:val="none" w:sz="0" w:space="0" w:color="auto"/>
                                <w:left w:val="none" w:sz="0" w:space="0" w:color="auto"/>
                                <w:bottom w:val="none" w:sz="0" w:space="0" w:color="auto"/>
                                <w:right w:val="none" w:sz="0" w:space="0" w:color="auto"/>
                              </w:divBdr>
                              <w:divsChild>
                                <w:div w:id="922952876">
                                  <w:marLeft w:val="0"/>
                                  <w:marRight w:val="0"/>
                                  <w:marTop w:val="0"/>
                                  <w:marBottom w:val="0"/>
                                  <w:divBdr>
                                    <w:top w:val="none" w:sz="0" w:space="0" w:color="auto"/>
                                    <w:left w:val="none" w:sz="0" w:space="0" w:color="auto"/>
                                    <w:bottom w:val="none" w:sz="0" w:space="0" w:color="auto"/>
                                    <w:right w:val="none" w:sz="0" w:space="0" w:color="auto"/>
                                  </w:divBdr>
                                  <w:divsChild>
                                    <w:div w:id="1710454277">
                                      <w:marLeft w:val="15"/>
                                      <w:marRight w:val="15"/>
                                      <w:marTop w:val="15"/>
                                      <w:marBottom w:val="15"/>
                                      <w:divBdr>
                                        <w:top w:val="none" w:sz="0" w:space="0" w:color="auto"/>
                                        <w:left w:val="none" w:sz="0" w:space="0" w:color="auto"/>
                                        <w:bottom w:val="none" w:sz="0" w:space="0" w:color="auto"/>
                                        <w:right w:val="none" w:sz="0" w:space="0" w:color="auto"/>
                                      </w:divBdr>
                                      <w:divsChild>
                                        <w:div w:id="2010257129">
                                          <w:marLeft w:val="0"/>
                                          <w:marRight w:val="0"/>
                                          <w:marTop w:val="0"/>
                                          <w:marBottom w:val="0"/>
                                          <w:divBdr>
                                            <w:top w:val="none" w:sz="0" w:space="0" w:color="auto"/>
                                            <w:left w:val="none" w:sz="0" w:space="0" w:color="auto"/>
                                            <w:bottom w:val="none" w:sz="0" w:space="0" w:color="auto"/>
                                            <w:right w:val="none" w:sz="0" w:space="0" w:color="auto"/>
                                          </w:divBdr>
                                          <w:divsChild>
                                            <w:div w:id="1253080633">
                                              <w:marLeft w:val="-225"/>
                                              <w:marRight w:val="-225"/>
                                              <w:marTop w:val="300"/>
                                              <w:marBottom w:val="0"/>
                                              <w:divBdr>
                                                <w:top w:val="none" w:sz="0" w:space="0" w:color="auto"/>
                                                <w:left w:val="none" w:sz="0" w:space="0" w:color="auto"/>
                                                <w:bottom w:val="none" w:sz="0" w:space="0" w:color="auto"/>
                                                <w:right w:val="none" w:sz="0" w:space="0" w:color="auto"/>
                                              </w:divBdr>
                                              <w:divsChild>
                                                <w:div w:id="501285386">
                                                  <w:marLeft w:val="0"/>
                                                  <w:marRight w:val="0"/>
                                                  <w:marTop w:val="0"/>
                                                  <w:marBottom w:val="0"/>
                                                  <w:divBdr>
                                                    <w:top w:val="none" w:sz="0" w:space="0" w:color="auto"/>
                                                    <w:left w:val="none" w:sz="0" w:space="0" w:color="auto"/>
                                                    <w:bottom w:val="none" w:sz="0" w:space="0" w:color="auto"/>
                                                    <w:right w:val="none" w:sz="0" w:space="0" w:color="auto"/>
                                                  </w:divBdr>
                                                  <w:divsChild>
                                                    <w:div w:id="595594422">
                                                      <w:marLeft w:val="0"/>
                                                      <w:marRight w:val="0"/>
                                                      <w:marTop w:val="0"/>
                                                      <w:marBottom w:val="0"/>
                                                      <w:divBdr>
                                                        <w:top w:val="none" w:sz="0" w:space="0" w:color="auto"/>
                                                        <w:left w:val="none" w:sz="0" w:space="0" w:color="auto"/>
                                                        <w:bottom w:val="none" w:sz="0" w:space="0" w:color="auto"/>
                                                        <w:right w:val="none" w:sz="0" w:space="0" w:color="auto"/>
                                                      </w:divBdr>
                                                      <w:divsChild>
                                                        <w:div w:id="389381737">
                                                          <w:marLeft w:val="-225"/>
                                                          <w:marRight w:val="-225"/>
                                                          <w:marTop w:val="0"/>
                                                          <w:marBottom w:val="0"/>
                                                          <w:divBdr>
                                                            <w:top w:val="none" w:sz="0" w:space="0" w:color="auto"/>
                                                            <w:left w:val="none" w:sz="0" w:space="0" w:color="auto"/>
                                                            <w:bottom w:val="none" w:sz="0" w:space="0" w:color="auto"/>
                                                            <w:right w:val="none" w:sz="0" w:space="0" w:color="auto"/>
                                                          </w:divBdr>
                                                          <w:divsChild>
                                                            <w:div w:id="639043355">
                                                              <w:marLeft w:val="0"/>
                                                              <w:marRight w:val="0"/>
                                                              <w:marTop w:val="0"/>
                                                              <w:marBottom w:val="0"/>
                                                              <w:divBdr>
                                                                <w:top w:val="none" w:sz="0" w:space="0" w:color="auto"/>
                                                                <w:left w:val="none" w:sz="0" w:space="0" w:color="auto"/>
                                                                <w:bottom w:val="none" w:sz="0" w:space="0" w:color="auto"/>
                                                                <w:right w:val="none" w:sz="0" w:space="0" w:color="auto"/>
                                                              </w:divBdr>
                                                              <w:divsChild>
                                                                <w:div w:id="1114901846">
                                                                  <w:marLeft w:val="0"/>
                                                                  <w:marRight w:val="0"/>
                                                                  <w:marTop w:val="0"/>
                                                                  <w:marBottom w:val="0"/>
                                                                  <w:divBdr>
                                                                    <w:top w:val="none" w:sz="0" w:space="0" w:color="auto"/>
                                                                    <w:left w:val="none" w:sz="0" w:space="0" w:color="auto"/>
                                                                    <w:bottom w:val="none" w:sz="0" w:space="0" w:color="auto"/>
                                                                    <w:right w:val="none" w:sz="0" w:space="0" w:color="auto"/>
                                                                  </w:divBdr>
                                                                  <w:divsChild>
                                                                    <w:div w:id="667943120">
                                                                      <w:marLeft w:val="0"/>
                                                                      <w:marRight w:val="0"/>
                                                                      <w:marTop w:val="0"/>
                                                                      <w:marBottom w:val="0"/>
                                                                      <w:divBdr>
                                                                        <w:top w:val="none" w:sz="0" w:space="0" w:color="auto"/>
                                                                        <w:left w:val="none" w:sz="0" w:space="0" w:color="auto"/>
                                                                        <w:bottom w:val="none" w:sz="0" w:space="0" w:color="auto"/>
                                                                        <w:right w:val="none" w:sz="0" w:space="0" w:color="auto"/>
                                                                      </w:divBdr>
                                                                      <w:divsChild>
                                                                        <w:div w:id="6223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25336">
      <w:bodyDiv w:val="1"/>
      <w:marLeft w:val="0"/>
      <w:marRight w:val="0"/>
      <w:marTop w:val="0"/>
      <w:marBottom w:val="900"/>
      <w:divBdr>
        <w:top w:val="none" w:sz="0" w:space="0" w:color="auto"/>
        <w:left w:val="none" w:sz="0" w:space="0" w:color="auto"/>
        <w:bottom w:val="none" w:sz="0" w:space="0" w:color="auto"/>
        <w:right w:val="none" w:sz="0" w:space="0" w:color="auto"/>
      </w:divBdr>
      <w:divsChild>
        <w:div w:id="1336346668">
          <w:marLeft w:val="0"/>
          <w:marRight w:val="0"/>
          <w:marTop w:val="0"/>
          <w:marBottom w:val="0"/>
          <w:divBdr>
            <w:top w:val="none" w:sz="0" w:space="0" w:color="auto"/>
            <w:left w:val="none" w:sz="0" w:space="0" w:color="auto"/>
            <w:bottom w:val="none" w:sz="0" w:space="0" w:color="auto"/>
            <w:right w:val="none" w:sz="0" w:space="0" w:color="auto"/>
          </w:divBdr>
          <w:divsChild>
            <w:div w:id="1118449346">
              <w:marLeft w:val="0"/>
              <w:marRight w:val="0"/>
              <w:marTop w:val="0"/>
              <w:marBottom w:val="0"/>
              <w:divBdr>
                <w:top w:val="none" w:sz="0" w:space="0" w:color="auto"/>
                <w:left w:val="none" w:sz="0" w:space="0" w:color="auto"/>
                <w:bottom w:val="none" w:sz="0" w:space="0" w:color="auto"/>
                <w:right w:val="none" w:sz="0" w:space="0" w:color="auto"/>
              </w:divBdr>
              <w:divsChild>
                <w:div w:id="115755098">
                  <w:marLeft w:val="0"/>
                  <w:marRight w:val="0"/>
                  <w:marTop w:val="0"/>
                  <w:marBottom w:val="0"/>
                  <w:divBdr>
                    <w:top w:val="none" w:sz="0" w:space="0" w:color="auto"/>
                    <w:left w:val="none" w:sz="0" w:space="0" w:color="auto"/>
                    <w:bottom w:val="none" w:sz="0" w:space="0" w:color="auto"/>
                    <w:right w:val="none" w:sz="0" w:space="0" w:color="auto"/>
                  </w:divBdr>
                  <w:divsChild>
                    <w:div w:id="165169671">
                      <w:marLeft w:val="0"/>
                      <w:marRight w:val="0"/>
                      <w:marTop w:val="0"/>
                      <w:marBottom w:val="0"/>
                      <w:divBdr>
                        <w:top w:val="none" w:sz="0" w:space="0" w:color="auto"/>
                        <w:left w:val="none" w:sz="0" w:space="0" w:color="auto"/>
                        <w:bottom w:val="none" w:sz="0" w:space="0" w:color="auto"/>
                        <w:right w:val="none" w:sz="0" w:space="0" w:color="auto"/>
                      </w:divBdr>
                      <w:divsChild>
                        <w:div w:id="1248073076">
                          <w:marLeft w:val="0"/>
                          <w:marRight w:val="0"/>
                          <w:marTop w:val="0"/>
                          <w:marBottom w:val="0"/>
                          <w:divBdr>
                            <w:top w:val="none" w:sz="0" w:space="0" w:color="auto"/>
                            <w:left w:val="none" w:sz="0" w:space="0" w:color="auto"/>
                            <w:bottom w:val="none" w:sz="0" w:space="0" w:color="auto"/>
                            <w:right w:val="none" w:sz="0" w:space="0" w:color="auto"/>
                          </w:divBdr>
                          <w:divsChild>
                            <w:div w:id="1277326816">
                              <w:marLeft w:val="-225"/>
                              <w:marRight w:val="-225"/>
                              <w:marTop w:val="0"/>
                              <w:marBottom w:val="0"/>
                              <w:divBdr>
                                <w:top w:val="none" w:sz="0" w:space="0" w:color="auto"/>
                                <w:left w:val="none" w:sz="0" w:space="0" w:color="auto"/>
                                <w:bottom w:val="none" w:sz="0" w:space="0" w:color="auto"/>
                                <w:right w:val="none" w:sz="0" w:space="0" w:color="auto"/>
                              </w:divBdr>
                              <w:divsChild>
                                <w:div w:id="1173102633">
                                  <w:marLeft w:val="0"/>
                                  <w:marRight w:val="0"/>
                                  <w:marTop w:val="0"/>
                                  <w:marBottom w:val="0"/>
                                  <w:divBdr>
                                    <w:top w:val="none" w:sz="0" w:space="0" w:color="auto"/>
                                    <w:left w:val="none" w:sz="0" w:space="0" w:color="auto"/>
                                    <w:bottom w:val="none" w:sz="0" w:space="0" w:color="auto"/>
                                    <w:right w:val="none" w:sz="0" w:space="0" w:color="auto"/>
                                  </w:divBdr>
                                  <w:divsChild>
                                    <w:div w:id="248393436">
                                      <w:marLeft w:val="15"/>
                                      <w:marRight w:val="15"/>
                                      <w:marTop w:val="15"/>
                                      <w:marBottom w:val="15"/>
                                      <w:divBdr>
                                        <w:top w:val="none" w:sz="0" w:space="0" w:color="auto"/>
                                        <w:left w:val="none" w:sz="0" w:space="0" w:color="auto"/>
                                        <w:bottom w:val="none" w:sz="0" w:space="0" w:color="auto"/>
                                        <w:right w:val="none" w:sz="0" w:space="0" w:color="auto"/>
                                      </w:divBdr>
                                      <w:divsChild>
                                        <w:div w:id="1525287580">
                                          <w:marLeft w:val="0"/>
                                          <w:marRight w:val="0"/>
                                          <w:marTop w:val="0"/>
                                          <w:marBottom w:val="0"/>
                                          <w:divBdr>
                                            <w:top w:val="none" w:sz="0" w:space="0" w:color="auto"/>
                                            <w:left w:val="none" w:sz="0" w:space="0" w:color="auto"/>
                                            <w:bottom w:val="none" w:sz="0" w:space="0" w:color="auto"/>
                                            <w:right w:val="none" w:sz="0" w:space="0" w:color="auto"/>
                                          </w:divBdr>
                                          <w:divsChild>
                                            <w:div w:id="64106268">
                                              <w:marLeft w:val="-225"/>
                                              <w:marRight w:val="-225"/>
                                              <w:marTop w:val="300"/>
                                              <w:marBottom w:val="0"/>
                                              <w:divBdr>
                                                <w:top w:val="none" w:sz="0" w:space="0" w:color="auto"/>
                                                <w:left w:val="none" w:sz="0" w:space="0" w:color="auto"/>
                                                <w:bottom w:val="none" w:sz="0" w:space="0" w:color="auto"/>
                                                <w:right w:val="none" w:sz="0" w:space="0" w:color="auto"/>
                                              </w:divBdr>
                                              <w:divsChild>
                                                <w:div w:id="841512952">
                                                  <w:marLeft w:val="0"/>
                                                  <w:marRight w:val="0"/>
                                                  <w:marTop w:val="0"/>
                                                  <w:marBottom w:val="0"/>
                                                  <w:divBdr>
                                                    <w:top w:val="none" w:sz="0" w:space="0" w:color="auto"/>
                                                    <w:left w:val="none" w:sz="0" w:space="0" w:color="auto"/>
                                                    <w:bottom w:val="none" w:sz="0" w:space="0" w:color="auto"/>
                                                    <w:right w:val="none" w:sz="0" w:space="0" w:color="auto"/>
                                                  </w:divBdr>
                                                  <w:divsChild>
                                                    <w:div w:id="1892646682">
                                                      <w:marLeft w:val="0"/>
                                                      <w:marRight w:val="0"/>
                                                      <w:marTop w:val="0"/>
                                                      <w:marBottom w:val="0"/>
                                                      <w:divBdr>
                                                        <w:top w:val="none" w:sz="0" w:space="0" w:color="auto"/>
                                                        <w:left w:val="none" w:sz="0" w:space="0" w:color="auto"/>
                                                        <w:bottom w:val="none" w:sz="0" w:space="0" w:color="auto"/>
                                                        <w:right w:val="none" w:sz="0" w:space="0" w:color="auto"/>
                                                      </w:divBdr>
                                                      <w:divsChild>
                                                        <w:div w:id="34742691">
                                                          <w:marLeft w:val="-225"/>
                                                          <w:marRight w:val="-225"/>
                                                          <w:marTop w:val="0"/>
                                                          <w:marBottom w:val="0"/>
                                                          <w:divBdr>
                                                            <w:top w:val="none" w:sz="0" w:space="0" w:color="auto"/>
                                                            <w:left w:val="none" w:sz="0" w:space="0" w:color="auto"/>
                                                            <w:bottom w:val="none" w:sz="0" w:space="0" w:color="auto"/>
                                                            <w:right w:val="none" w:sz="0" w:space="0" w:color="auto"/>
                                                          </w:divBdr>
                                                          <w:divsChild>
                                                            <w:div w:id="1799883350">
                                                              <w:marLeft w:val="0"/>
                                                              <w:marRight w:val="0"/>
                                                              <w:marTop w:val="0"/>
                                                              <w:marBottom w:val="0"/>
                                                              <w:divBdr>
                                                                <w:top w:val="none" w:sz="0" w:space="0" w:color="auto"/>
                                                                <w:left w:val="none" w:sz="0" w:space="0" w:color="auto"/>
                                                                <w:bottom w:val="none" w:sz="0" w:space="0" w:color="auto"/>
                                                                <w:right w:val="none" w:sz="0" w:space="0" w:color="auto"/>
                                                              </w:divBdr>
                                                              <w:divsChild>
                                                                <w:div w:id="697775674">
                                                                  <w:marLeft w:val="0"/>
                                                                  <w:marRight w:val="0"/>
                                                                  <w:marTop w:val="0"/>
                                                                  <w:marBottom w:val="0"/>
                                                                  <w:divBdr>
                                                                    <w:top w:val="none" w:sz="0" w:space="0" w:color="auto"/>
                                                                    <w:left w:val="none" w:sz="0" w:space="0" w:color="auto"/>
                                                                    <w:bottom w:val="none" w:sz="0" w:space="0" w:color="auto"/>
                                                                    <w:right w:val="none" w:sz="0" w:space="0" w:color="auto"/>
                                                                  </w:divBdr>
                                                                  <w:divsChild>
                                                                    <w:div w:id="1220629484">
                                                                      <w:marLeft w:val="0"/>
                                                                      <w:marRight w:val="0"/>
                                                                      <w:marTop w:val="0"/>
                                                                      <w:marBottom w:val="0"/>
                                                                      <w:divBdr>
                                                                        <w:top w:val="none" w:sz="0" w:space="0" w:color="auto"/>
                                                                        <w:left w:val="none" w:sz="0" w:space="0" w:color="auto"/>
                                                                        <w:bottom w:val="none" w:sz="0" w:space="0" w:color="auto"/>
                                                                        <w:right w:val="none" w:sz="0" w:space="0" w:color="auto"/>
                                                                      </w:divBdr>
                                                                      <w:divsChild>
                                                                        <w:div w:id="13635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675642">
      <w:bodyDiv w:val="1"/>
      <w:marLeft w:val="0"/>
      <w:marRight w:val="0"/>
      <w:marTop w:val="0"/>
      <w:marBottom w:val="0"/>
      <w:divBdr>
        <w:top w:val="none" w:sz="0" w:space="0" w:color="auto"/>
        <w:left w:val="none" w:sz="0" w:space="0" w:color="auto"/>
        <w:bottom w:val="none" w:sz="0" w:space="0" w:color="auto"/>
        <w:right w:val="none" w:sz="0" w:space="0" w:color="auto"/>
      </w:divBdr>
    </w:div>
    <w:div w:id="402416931">
      <w:bodyDiv w:val="1"/>
      <w:marLeft w:val="0"/>
      <w:marRight w:val="0"/>
      <w:marTop w:val="0"/>
      <w:marBottom w:val="0"/>
      <w:divBdr>
        <w:top w:val="none" w:sz="0" w:space="0" w:color="auto"/>
        <w:left w:val="none" w:sz="0" w:space="0" w:color="auto"/>
        <w:bottom w:val="none" w:sz="0" w:space="0" w:color="auto"/>
        <w:right w:val="none" w:sz="0" w:space="0" w:color="auto"/>
      </w:divBdr>
    </w:div>
    <w:div w:id="519392131">
      <w:bodyDiv w:val="1"/>
      <w:marLeft w:val="0"/>
      <w:marRight w:val="0"/>
      <w:marTop w:val="0"/>
      <w:marBottom w:val="0"/>
      <w:divBdr>
        <w:top w:val="none" w:sz="0" w:space="0" w:color="auto"/>
        <w:left w:val="none" w:sz="0" w:space="0" w:color="auto"/>
        <w:bottom w:val="none" w:sz="0" w:space="0" w:color="auto"/>
        <w:right w:val="none" w:sz="0" w:space="0" w:color="auto"/>
      </w:divBdr>
    </w:div>
    <w:div w:id="562108727">
      <w:bodyDiv w:val="1"/>
      <w:marLeft w:val="0"/>
      <w:marRight w:val="0"/>
      <w:marTop w:val="0"/>
      <w:marBottom w:val="0"/>
      <w:divBdr>
        <w:top w:val="none" w:sz="0" w:space="0" w:color="auto"/>
        <w:left w:val="none" w:sz="0" w:space="0" w:color="auto"/>
        <w:bottom w:val="none" w:sz="0" w:space="0" w:color="auto"/>
        <w:right w:val="none" w:sz="0" w:space="0" w:color="auto"/>
      </w:divBdr>
    </w:div>
    <w:div w:id="624310158">
      <w:bodyDiv w:val="1"/>
      <w:marLeft w:val="0"/>
      <w:marRight w:val="0"/>
      <w:marTop w:val="0"/>
      <w:marBottom w:val="0"/>
      <w:divBdr>
        <w:top w:val="none" w:sz="0" w:space="0" w:color="auto"/>
        <w:left w:val="none" w:sz="0" w:space="0" w:color="auto"/>
        <w:bottom w:val="none" w:sz="0" w:space="0" w:color="auto"/>
        <w:right w:val="none" w:sz="0" w:space="0" w:color="auto"/>
      </w:divBdr>
    </w:div>
    <w:div w:id="641421917">
      <w:bodyDiv w:val="1"/>
      <w:marLeft w:val="0"/>
      <w:marRight w:val="0"/>
      <w:marTop w:val="0"/>
      <w:marBottom w:val="0"/>
      <w:divBdr>
        <w:top w:val="none" w:sz="0" w:space="0" w:color="auto"/>
        <w:left w:val="none" w:sz="0" w:space="0" w:color="auto"/>
        <w:bottom w:val="none" w:sz="0" w:space="0" w:color="auto"/>
        <w:right w:val="none" w:sz="0" w:space="0" w:color="auto"/>
      </w:divBdr>
    </w:div>
    <w:div w:id="789713825">
      <w:bodyDiv w:val="1"/>
      <w:marLeft w:val="0"/>
      <w:marRight w:val="0"/>
      <w:marTop w:val="0"/>
      <w:marBottom w:val="0"/>
      <w:divBdr>
        <w:top w:val="none" w:sz="0" w:space="0" w:color="auto"/>
        <w:left w:val="none" w:sz="0" w:space="0" w:color="auto"/>
        <w:bottom w:val="none" w:sz="0" w:space="0" w:color="auto"/>
        <w:right w:val="none" w:sz="0" w:space="0" w:color="auto"/>
      </w:divBdr>
    </w:div>
    <w:div w:id="824472199">
      <w:bodyDiv w:val="1"/>
      <w:marLeft w:val="0"/>
      <w:marRight w:val="0"/>
      <w:marTop w:val="0"/>
      <w:marBottom w:val="0"/>
      <w:divBdr>
        <w:top w:val="none" w:sz="0" w:space="0" w:color="auto"/>
        <w:left w:val="none" w:sz="0" w:space="0" w:color="auto"/>
        <w:bottom w:val="none" w:sz="0" w:space="0" w:color="auto"/>
        <w:right w:val="none" w:sz="0" w:space="0" w:color="auto"/>
      </w:divBdr>
    </w:div>
    <w:div w:id="832376503">
      <w:bodyDiv w:val="1"/>
      <w:marLeft w:val="0"/>
      <w:marRight w:val="0"/>
      <w:marTop w:val="0"/>
      <w:marBottom w:val="0"/>
      <w:divBdr>
        <w:top w:val="none" w:sz="0" w:space="0" w:color="auto"/>
        <w:left w:val="none" w:sz="0" w:space="0" w:color="auto"/>
        <w:bottom w:val="none" w:sz="0" w:space="0" w:color="auto"/>
        <w:right w:val="none" w:sz="0" w:space="0" w:color="auto"/>
      </w:divBdr>
    </w:div>
    <w:div w:id="1039863896">
      <w:bodyDiv w:val="1"/>
      <w:marLeft w:val="0"/>
      <w:marRight w:val="0"/>
      <w:marTop w:val="0"/>
      <w:marBottom w:val="0"/>
      <w:divBdr>
        <w:top w:val="none" w:sz="0" w:space="0" w:color="auto"/>
        <w:left w:val="none" w:sz="0" w:space="0" w:color="auto"/>
        <w:bottom w:val="none" w:sz="0" w:space="0" w:color="auto"/>
        <w:right w:val="none" w:sz="0" w:space="0" w:color="auto"/>
      </w:divBdr>
    </w:div>
    <w:div w:id="1097292507">
      <w:bodyDiv w:val="1"/>
      <w:marLeft w:val="0"/>
      <w:marRight w:val="0"/>
      <w:marTop w:val="0"/>
      <w:marBottom w:val="0"/>
      <w:divBdr>
        <w:top w:val="none" w:sz="0" w:space="0" w:color="auto"/>
        <w:left w:val="none" w:sz="0" w:space="0" w:color="auto"/>
        <w:bottom w:val="none" w:sz="0" w:space="0" w:color="auto"/>
        <w:right w:val="none" w:sz="0" w:space="0" w:color="auto"/>
      </w:divBdr>
      <w:divsChild>
        <w:div w:id="1032731097">
          <w:marLeft w:val="0"/>
          <w:marRight w:val="0"/>
          <w:marTop w:val="0"/>
          <w:marBottom w:val="0"/>
          <w:divBdr>
            <w:top w:val="none" w:sz="0" w:space="0" w:color="auto"/>
            <w:left w:val="none" w:sz="0" w:space="0" w:color="auto"/>
            <w:bottom w:val="none" w:sz="0" w:space="0" w:color="auto"/>
            <w:right w:val="none" w:sz="0" w:space="0" w:color="auto"/>
          </w:divBdr>
          <w:divsChild>
            <w:div w:id="212422783">
              <w:marLeft w:val="0"/>
              <w:marRight w:val="0"/>
              <w:marTop w:val="0"/>
              <w:marBottom w:val="0"/>
              <w:divBdr>
                <w:top w:val="none" w:sz="0" w:space="0" w:color="auto"/>
                <w:left w:val="none" w:sz="0" w:space="0" w:color="auto"/>
                <w:bottom w:val="none" w:sz="0" w:space="0" w:color="auto"/>
                <w:right w:val="none" w:sz="0" w:space="0" w:color="auto"/>
              </w:divBdr>
              <w:divsChild>
                <w:div w:id="1544169121">
                  <w:marLeft w:val="0"/>
                  <w:marRight w:val="0"/>
                  <w:marTop w:val="0"/>
                  <w:marBottom w:val="0"/>
                  <w:divBdr>
                    <w:top w:val="none" w:sz="0" w:space="0" w:color="auto"/>
                    <w:left w:val="none" w:sz="0" w:space="0" w:color="auto"/>
                    <w:bottom w:val="none" w:sz="0" w:space="0" w:color="auto"/>
                    <w:right w:val="none" w:sz="0" w:space="0" w:color="auto"/>
                  </w:divBdr>
                  <w:divsChild>
                    <w:div w:id="1906992624">
                      <w:marLeft w:val="1"/>
                      <w:marRight w:val="1"/>
                      <w:marTop w:val="0"/>
                      <w:marBottom w:val="0"/>
                      <w:divBdr>
                        <w:top w:val="none" w:sz="0" w:space="0" w:color="auto"/>
                        <w:left w:val="none" w:sz="0" w:space="0" w:color="auto"/>
                        <w:bottom w:val="none" w:sz="0" w:space="0" w:color="auto"/>
                        <w:right w:val="none" w:sz="0" w:space="0" w:color="auto"/>
                      </w:divBdr>
                      <w:divsChild>
                        <w:div w:id="1220673942">
                          <w:marLeft w:val="0"/>
                          <w:marRight w:val="0"/>
                          <w:marTop w:val="0"/>
                          <w:marBottom w:val="0"/>
                          <w:divBdr>
                            <w:top w:val="none" w:sz="0" w:space="0" w:color="auto"/>
                            <w:left w:val="none" w:sz="0" w:space="0" w:color="auto"/>
                            <w:bottom w:val="none" w:sz="0" w:space="0" w:color="auto"/>
                            <w:right w:val="none" w:sz="0" w:space="0" w:color="auto"/>
                          </w:divBdr>
                          <w:divsChild>
                            <w:div w:id="752240680">
                              <w:marLeft w:val="0"/>
                              <w:marRight w:val="0"/>
                              <w:marTop w:val="0"/>
                              <w:marBottom w:val="360"/>
                              <w:divBdr>
                                <w:top w:val="none" w:sz="0" w:space="0" w:color="auto"/>
                                <w:left w:val="none" w:sz="0" w:space="0" w:color="auto"/>
                                <w:bottom w:val="none" w:sz="0" w:space="0" w:color="auto"/>
                                <w:right w:val="none" w:sz="0" w:space="0" w:color="auto"/>
                              </w:divBdr>
                              <w:divsChild>
                                <w:div w:id="1455902096">
                                  <w:marLeft w:val="0"/>
                                  <w:marRight w:val="0"/>
                                  <w:marTop w:val="0"/>
                                  <w:marBottom w:val="0"/>
                                  <w:divBdr>
                                    <w:top w:val="none" w:sz="0" w:space="0" w:color="auto"/>
                                    <w:left w:val="none" w:sz="0" w:space="0" w:color="auto"/>
                                    <w:bottom w:val="none" w:sz="0" w:space="0" w:color="auto"/>
                                    <w:right w:val="none" w:sz="0" w:space="0" w:color="auto"/>
                                  </w:divBdr>
                                  <w:divsChild>
                                    <w:div w:id="714742371">
                                      <w:marLeft w:val="0"/>
                                      <w:marRight w:val="0"/>
                                      <w:marTop w:val="0"/>
                                      <w:marBottom w:val="0"/>
                                      <w:divBdr>
                                        <w:top w:val="none" w:sz="0" w:space="0" w:color="auto"/>
                                        <w:left w:val="none" w:sz="0" w:space="0" w:color="auto"/>
                                        <w:bottom w:val="none" w:sz="0" w:space="0" w:color="auto"/>
                                        <w:right w:val="none" w:sz="0" w:space="0" w:color="auto"/>
                                      </w:divBdr>
                                      <w:divsChild>
                                        <w:div w:id="779490937">
                                          <w:marLeft w:val="0"/>
                                          <w:marRight w:val="0"/>
                                          <w:marTop w:val="0"/>
                                          <w:marBottom w:val="0"/>
                                          <w:divBdr>
                                            <w:top w:val="none" w:sz="0" w:space="0" w:color="auto"/>
                                            <w:left w:val="none" w:sz="0" w:space="0" w:color="auto"/>
                                            <w:bottom w:val="none" w:sz="0" w:space="0" w:color="auto"/>
                                            <w:right w:val="none" w:sz="0" w:space="0" w:color="auto"/>
                                          </w:divBdr>
                                          <w:divsChild>
                                            <w:div w:id="1075008552">
                                              <w:marLeft w:val="0"/>
                                              <w:marRight w:val="0"/>
                                              <w:marTop w:val="0"/>
                                              <w:marBottom w:val="0"/>
                                              <w:divBdr>
                                                <w:top w:val="none" w:sz="0" w:space="0" w:color="auto"/>
                                                <w:left w:val="none" w:sz="0" w:space="0" w:color="auto"/>
                                                <w:bottom w:val="none" w:sz="0" w:space="0" w:color="auto"/>
                                                <w:right w:val="none" w:sz="0" w:space="0" w:color="auto"/>
                                              </w:divBdr>
                                              <w:divsChild>
                                                <w:div w:id="734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107195">
      <w:bodyDiv w:val="1"/>
      <w:marLeft w:val="0"/>
      <w:marRight w:val="0"/>
      <w:marTop w:val="0"/>
      <w:marBottom w:val="0"/>
      <w:divBdr>
        <w:top w:val="none" w:sz="0" w:space="0" w:color="auto"/>
        <w:left w:val="none" w:sz="0" w:space="0" w:color="auto"/>
        <w:bottom w:val="none" w:sz="0" w:space="0" w:color="auto"/>
        <w:right w:val="none" w:sz="0" w:space="0" w:color="auto"/>
      </w:divBdr>
    </w:div>
    <w:div w:id="1161390741">
      <w:bodyDiv w:val="1"/>
      <w:marLeft w:val="0"/>
      <w:marRight w:val="0"/>
      <w:marTop w:val="0"/>
      <w:marBottom w:val="0"/>
      <w:divBdr>
        <w:top w:val="none" w:sz="0" w:space="0" w:color="auto"/>
        <w:left w:val="none" w:sz="0" w:space="0" w:color="auto"/>
        <w:bottom w:val="none" w:sz="0" w:space="0" w:color="auto"/>
        <w:right w:val="none" w:sz="0" w:space="0" w:color="auto"/>
      </w:divBdr>
    </w:div>
    <w:div w:id="1224215069">
      <w:bodyDiv w:val="1"/>
      <w:marLeft w:val="0"/>
      <w:marRight w:val="0"/>
      <w:marTop w:val="0"/>
      <w:marBottom w:val="0"/>
      <w:divBdr>
        <w:top w:val="none" w:sz="0" w:space="0" w:color="auto"/>
        <w:left w:val="none" w:sz="0" w:space="0" w:color="auto"/>
        <w:bottom w:val="none" w:sz="0" w:space="0" w:color="auto"/>
        <w:right w:val="none" w:sz="0" w:space="0" w:color="auto"/>
      </w:divBdr>
    </w:div>
    <w:div w:id="1231036358">
      <w:bodyDiv w:val="1"/>
      <w:marLeft w:val="0"/>
      <w:marRight w:val="0"/>
      <w:marTop w:val="0"/>
      <w:marBottom w:val="0"/>
      <w:divBdr>
        <w:top w:val="none" w:sz="0" w:space="0" w:color="auto"/>
        <w:left w:val="none" w:sz="0" w:space="0" w:color="auto"/>
        <w:bottom w:val="none" w:sz="0" w:space="0" w:color="auto"/>
        <w:right w:val="none" w:sz="0" w:space="0" w:color="auto"/>
      </w:divBdr>
    </w:div>
    <w:div w:id="1269656562">
      <w:bodyDiv w:val="1"/>
      <w:marLeft w:val="0"/>
      <w:marRight w:val="0"/>
      <w:marTop w:val="0"/>
      <w:marBottom w:val="0"/>
      <w:divBdr>
        <w:top w:val="none" w:sz="0" w:space="0" w:color="auto"/>
        <w:left w:val="none" w:sz="0" w:space="0" w:color="auto"/>
        <w:bottom w:val="none" w:sz="0" w:space="0" w:color="auto"/>
        <w:right w:val="none" w:sz="0" w:space="0" w:color="auto"/>
      </w:divBdr>
    </w:div>
    <w:div w:id="1300107856">
      <w:bodyDiv w:val="1"/>
      <w:marLeft w:val="0"/>
      <w:marRight w:val="0"/>
      <w:marTop w:val="0"/>
      <w:marBottom w:val="0"/>
      <w:divBdr>
        <w:top w:val="none" w:sz="0" w:space="0" w:color="auto"/>
        <w:left w:val="none" w:sz="0" w:space="0" w:color="auto"/>
        <w:bottom w:val="none" w:sz="0" w:space="0" w:color="auto"/>
        <w:right w:val="none" w:sz="0" w:space="0" w:color="auto"/>
      </w:divBdr>
    </w:div>
    <w:div w:id="1400127254">
      <w:bodyDiv w:val="1"/>
      <w:marLeft w:val="0"/>
      <w:marRight w:val="0"/>
      <w:marTop w:val="0"/>
      <w:marBottom w:val="0"/>
      <w:divBdr>
        <w:top w:val="none" w:sz="0" w:space="0" w:color="auto"/>
        <w:left w:val="none" w:sz="0" w:space="0" w:color="auto"/>
        <w:bottom w:val="none" w:sz="0" w:space="0" w:color="auto"/>
        <w:right w:val="none" w:sz="0" w:space="0" w:color="auto"/>
      </w:divBdr>
    </w:div>
    <w:div w:id="1442653661">
      <w:bodyDiv w:val="1"/>
      <w:marLeft w:val="0"/>
      <w:marRight w:val="0"/>
      <w:marTop w:val="0"/>
      <w:marBottom w:val="0"/>
      <w:divBdr>
        <w:top w:val="none" w:sz="0" w:space="0" w:color="auto"/>
        <w:left w:val="none" w:sz="0" w:space="0" w:color="auto"/>
        <w:bottom w:val="none" w:sz="0" w:space="0" w:color="auto"/>
        <w:right w:val="none" w:sz="0" w:space="0" w:color="auto"/>
      </w:divBdr>
    </w:div>
    <w:div w:id="1834489140">
      <w:bodyDiv w:val="1"/>
      <w:marLeft w:val="0"/>
      <w:marRight w:val="0"/>
      <w:marTop w:val="0"/>
      <w:marBottom w:val="0"/>
      <w:divBdr>
        <w:top w:val="none" w:sz="0" w:space="0" w:color="auto"/>
        <w:left w:val="none" w:sz="0" w:space="0" w:color="auto"/>
        <w:bottom w:val="none" w:sz="0" w:space="0" w:color="auto"/>
        <w:right w:val="none" w:sz="0" w:space="0" w:color="auto"/>
      </w:divBdr>
    </w:div>
    <w:div w:id="1902668358">
      <w:bodyDiv w:val="1"/>
      <w:marLeft w:val="0"/>
      <w:marRight w:val="0"/>
      <w:marTop w:val="0"/>
      <w:marBottom w:val="0"/>
      <w:divBdr>
        <w:top w:val="none" w:sz="0" w:space="0" w:color="auto"/>
        <w:left w:val="none" w:sz="0" w:space="0" w:color="auto"/>
        <w:bottom w:val="none" w:sz="0" w:space="0" w:color="auto"/>
        <w:right w:val="none" w:sz="0" w:space="0" w:color="auto"/>
      </w:divBdr>
    </w:div>
    <w:div w:id="1922130511">
      <w:bodyDiv w:val="1"/>
      <w:marLeft w:val="0"/>
      <w:marRight w:val="0"/>
      <w:marTop w:val="0"/>
      <w:marBottom w:val="0"/>
      <w:divBdr>
        <w:top w:val="none" w:sz="0" w:space="0" w:color="auto"/>
        <w:left w:val="none" w:sz="0" w:space="0" w:color="auto"/>
        <w:bottom w:val="none" w:sz="0" w:space="0" w:color="auto"/>
        <w:right w:val="none" w:sz="0" w:space="0" w:color="auto"/>
      </w:divBdr>
    </w:div>
    <w:div w:id="2001037200">
      <w:bodyDiv w:val="1"/>
      <w:marLeft w:val="0"/>
      <w:marRight w:val="0"/>
      <w:marTop w:val="0"/>
      <w:marBottom w:val="0"/>
      <w:divBdr>
        <w:top w:val="none" w:sz="0" w:space="0" w:color="auto"/>
        <w:left w:val="none" w:sz="0" w:space="0" w:color="auto"/>
        <w:bottom w:val="none" w:sz="0" w:space="0" w:color="auto"/>
        <w:right w:val="none" w:sz="0" w:space="0" w:color="auto"/>
      </w:divBdr>
    </w:div>
    <w:div w:id="2061896949">
      <w:bodyDiv w:val="1"/>
      <w:marLeft w:val="0"/>
      <w:marRight w:val="0"/>
      <w:marTop w:val="0"/>
      <w:marBottom w:val="0"/>
      <w:divBdr>
        <w:top w:val="none" w:sz="0" w:space="0" w:color="auto"/>
        <w:left w:val="none" w:sz="0" w:space="0" w:color="auto"/>
        <w:bottom w:val="none" w:sz="0" w:space="0" w:color="auto"/>
        <w:right w:val="none" w:sz="0" w:space="0" w:color="auto"/>
      </w:divBdr>
    </w:div>
    <w:div w:id="20869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europarl.europa.eu/sides/getDoc.do?type=TA&amp;reference=P8-TA-2016-0334&amp;language=EN&amp;ring=A8-2016-0232" TargetMode="External"/><Relationship Id="rId3" Type="http://schemas.openxmlformats.org/officeDocument/2006/relationships/hyperlink" Target="http://eur-lex.europa.eu/legal-content/EN/TXT/?uri=CELEX%3A52016XC0719%2805%29" TargetMode="External"/><Relationship Id="rId7" Type="http://schemas.openxmlformats.org/officeDocument/2006/relationships/hyperlink" Target="http://www.europarl.europa.eu/sides/getDoc.do?type=TA&amp;reference=P8-TA-2016-0234&amp;language=EN&amp;ring=A8-2016-0161" TargetMode="External"/><Relationship Id="rId2" Type="http://schemas.openxmlformats.org/officeDocument/2006/relationships/hyperlink" Target="http://cor.europa.eu/en/activities/opinions/pages/opinion-factsheet.aspx?OpinionNumber=CDR%201460/2016" TargetMode="External"/><Relationship Id="rId1" Type="http://schemas.openxmlformats.org/officeDocument/2006/relationships/hyperlink" Target="http://www.europarl.europa.eu/RegData/etudes/IDAN/2017/602082/IPOL_IDA(2017)602082_EN.pdf" TargetMode="External"/><Relationship Id="rId6" Type="http://schemas.openxmlformats.org/officeDocument/2006/relationships/hyperlink" Target="http://www.europarl.europa.eu/sides/getDoc.do?type=TA&amp;reference=P8-TA-2016-0333&amp;language=EN&amp;ring=A8-2016-0214" TargetMode="External"/><Relationship Id="rId11" Type="http://schemas.openxmlformats.org/officeDocument/2006/relationships/hyperlink" Target="http://www.europarl.europa.eu/sides/getDoc.do?type=COMPARL&amp;mode=XML&amp;language=EN&amp;reference=PE599.751" TargetMode="External"/><Relationship Id="rId5" Type="http://schemas.openxmlformats.org/officeDocument/2006/relationships/hyperlink" Target="http://www.europarl.europa.eu/sides/getDoc.do?type=TA&amp;reference=P8-TA-2016-0292&amp;language=EN&amp;ring=A8-2016-0196" TargetMode="External"/><Relationship Id="rId10" Type="http://schemas.openxmlformats.org/officeDocument/2006/relationships/hyperlink" Target="https://ec.europa.eu/agriculture/events/rural-development-2016_en" TargetMode="External"/><Relationship Id="rId4" Type="http://schemas.openxmlformats.org/officeDocument/2006/relationships/hyperlink" Target="http://ec.europa.eu/competition/consultations/2016_second_gber_review/index_en.html" TargetMode="External"/><Relationship Id="rId9" Type="http://schemas.openxmlformats.org/officeDocument/2006/relationships/hyperlink" Target="http://www.europarl.europa.eu/sides/getDoc.do?type=TA&amp;reference=P8-TA-2017-0207&amp;language=EN&amp;ring=A8-2017-01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C05359D026D5844F9121FDC8959506FD" ma:contentTypeVersion="6" ma:contentTypeDescription="Create a new document." ma:contentTypeScope="" ma:versionID="033172546d8dd73e29ee5a72a2b6c93b">
  <xsd:schema xmlns:xsd="http://www.w3.org/2001/XMLSchema" xmlns:xs="http://www.w3.org/2001/XMLSchema" xmlns:p="http://schemas.microsoft.com/office/2006/metadata/properties" xmlns:ns1="http://schemas.microsoft.com/sharepoint/v3" xmlns:ns2="61ca3f1a-19f4-461d-a43b-0b5ad97b08be" xmlns:ns3="0839c6ea-a1dc-4bb6-8edd-505e41658e6a" xmlns:ns4="eb88869c-fc5f-4bcf-872f-ed8c799e1c02" targetNamespace="http://schemas.microsoft.com/office/2006/metadata/properties" ma:root="true" ma:fieldsID="4560ece01af1e5a4d2e87dfe1b231336" ns1:_="" ns2:_="" ns3:_="" ns4:_="">
    <xsd:import namespace="http://schemas.microsoft.com/sharepoint/v3"/>
    <xsd:import namespace="61ca3f1a-19f4-461d-a43b-0b5ad97b08be"/>
    <xsd:import namespace="0839c6ea-a1dc-4bb6-8edd-505e41658e6a"/>
    <xsd:import namespace="eb88869c-fc5f-4bcf-872f-ed8c799e1c0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2:KIKLOS_ID" minOccurs="0"/>
                <xsd:element ref="ns4:go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IKLOS_ID" ma:index="15" nillable="true" ma:displayName="KIKLOS_ID" ma:description="Reference of a communication activity in KIKLOS" ma:internalName="KIKLOS_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88869c-fc5f-4bcf-872f-ed8c799e1c02" elementFormDefault="qualified">
    <xsd:import namespace="http://schemas.microsoft.com/office/2006/documentManagement/types"/>
    <xsd:import namespace="http://schemas.microsoft.com/office/infopath/2007/PartnerControls"/>
    <xsd:element name="go3c" ma:index="16" nillable="true" ma:displayName="Text" ma:internalName="go3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H6KF3DZUJANF-6-3727</_dlc_DocId>
    <_dlc_DocIdUrl xmlns="61ca3f1a-19f4-461d-a43b-0b5ad97b08be">
      <Url>http://dm2016/cor/2017/_layouts/DocIdRedir.aspx?ID=H6KF3DZUJANF-6-3727</Url>
      <Description>H6KF3DZUJANF-6-3727</Description>
    </_dlc_DocIdUrl>
    <PublishingExpirationDate xmlns="http://schemas.microsoft.com/sharepoint/v3" xsi:nil="true"/>
    <PublishingStartDate xmlns="http://schemas.microsoft.com/sharepoint/v3" xsi:nil="true"/>
    <KIKLOS_ID xmlns="61ca3f1a-19f4-461d-a43b-0b5ad97b08be" xsi:nil="true"/>
    <go3c xmlns="eb88869c-fc5f-4bcf-872f-ed8c799e1c02" xsi:nil="true"/>
  </documentManagement>
</p:properties>
</file>

<file path=customXml/item5.xml><?xml version="1.0" encoding="utf-8"?>
<b:Sources xmlns:b="http://schemas.openxmlformats.org/officeDocument/2006/bibliography" xmlns="http://schemas.openxmlformats.org/officeDocument/2006/bibliography" SelectedStyle="\APA.XSL" StyleName="APA">
  <b:Source>
    <b:Tag>ANJ</b:Tag>
    <b:SourceType>Book</b:SourceType>
    <b:Guid>{FBE511E6-A35F-4F46-BF4D-A401FD9858BF}</b:Guid>
    <b:Title>ANJA</b:Title>
    <b:RefOrder>1</b:RefOrder>
  </b:Source>
</b:Sources>
</file>

<file path=customXml/itemProps1.xml><?xml version="1.0" encoding="utf-8"?>
<ds:datastoreItem xmlns:ds="http://schemas.openxmlformats.org/officeDocument/2006/customXml" ds:itemID="{44335C4F-7865-4003-B452-19388C505CE0}"/>
</file>

<file path=customXml/itemProps2.xml><?xml version="1.0" encoding="utf-8"?>
<ds:datastoreItem xmlns:ds="http://schemas.openxmlformats.org/officeDocument/2006/customXml" ds:itemID="{5A25963A-1E32-446A-817D-C3D8F30A91D7}"/>
</file>

<file path=customXml/itemProps3.xml><?xml version="1.0" encoding="utf-8"?>
<ds:datastoreItem xmlns:ds="http://schemas.openxmlformats.org/officeDocument/2006/customXml" ds:itemID="{ACD88066-2F08-45C9-9E69-1A5654FC1344}">
  <ds:schemaRefs>
    <ds:schemaRef ds:uri="http://schemas.microsoft.com/sharepoint/v3/contenttype/forms"/>
  </ds:schemaRefs>
</ds:datastoreItem>
</file>

<file path=customXml/itemProps4.xml><?xml version="1.0" encoding="utf-8"?>
<ds:datastoreItem xmlns:ds="http://schemas.openxmlformats.org/officeDocument/2006/customXml" ds:itemID="{DF1AB31E-ED71-456D-85C8-C223FD1C5CA2}">
  <ds:schemaRefs>
    <ds:schemaRef ds:uri="http://schemas.microsoft.com/office/2006/metadata/properties"/>
    <ds:schemaRef ds:uri="http://schemas.microsoft.com/office/infopath/2007/PartnerControls"/>
    <ds:schemaRef ds:uri="37f9acf0-bf35-44c8-9f53-e67291d19401"/>
    <ds:schemaRef ds:uri="http://schemas.microsoft.com/sharepoint/v3/fields"/>
    <ds:schemaRef ds:uri="63b37294-a0c6-40db-9097-ff4c4957f7b6"/>
  </ds:schemaRefs>
</ds:datastoreItem>
</file>

<file path=customXml/itemProps5.xml><?xml version="1.0" encoding="utf-8"?>
<ds:datastoreItem xmlns:ds="http://schemas.openxmlformats.org/officeDocument/2006/customXml" ds:itemID="{5C165DFD-145A-4179-AAC1-3ACA1585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Pages>
  <Words>10992</Words>
  <Characters>62659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AIR 2015 draft_structure</vt:lpstr>
    </vt:vector>
  </TitlesOfParts>
  <Company>CESE-CdR</Company>
  <LinksUpToDate>false</LinksUpToDate>
  <CharactersWithSpaces>73504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Pt_09_a)_Report impact CoR opinons</dc:title>
  <dc:subject>Appendix</dc:subject>
  <dc:creator>Hilary Morris</dc:creator>
  <cp:keywords>COR-2017-02424-00-00-ANN-TRA-EN</cp:keywords>
  <dc:description>Rapporteur: -  Original language: - EN Date of document: - 03/07/2017 Date of meeting: - 11/07/2017 External documents: -  Administrator responsible: - MME Bouquerel Caroline</dc:description>
  <cp:lastModifiedBy>basz</cp:lastModifiedBy>
  <cp:revision>3</cp:revision>
  <cp:lastPrinted>2017-06-30T10:30:00Z</cp:lastPrinted>
  <dcterms:created xsi:type="dcterms:W3CDTF">2019-07-11T14:20:00Z</dcterms:created>
  <dcterms:modified xsi:type="dcterms:W3CDTF">2019-07-11T14:20:00Z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0x010100C05359D026D5844F9121FDC8959506FD</vt:lpwstr>
  </property>
  <property fmtid="{D5CDD505-2E9C-101B-9397-08002B2CF9AE}" pid="3" name="StyleCheckSum">
    <vt:lpwstr>63470_C79473_P455_L115</vt:lpwstr>
  </property>
  <property fmtid="{D5CDD505-2E9C-101B-9397-08002B2CF9AE}" pid="4" name="_dlc_DocIdItemGuid">
    <vt:lpwstr>20a71f00-fbe4-49e2-9c56-27de7b704073</vt:lpwstr>
  </property>
  <property fmtid="{D5CDD505-2E9C-101B-9397-08002B2CF9AE}" pid="5" name="DocumentType_0">
    <vt:lpwstr>ANN|77e6295a-5435-4751-8cb4-ca5555443730</vt:lpwstr>
  </property>
  <property fmtid="{D5CDD505-2E9C-101B-9397-08002B2CF9AE}" pid="6" name="AvailableTranslations">
    <vt:lpwstr>24;#EL|6d4f4d51-af9b-4650-94b4-4276bee85c91;#4;#FR|d2afafd3-4c81-4f60-8f52-ee33f2f54ff3;#37;#SK|46d9fce0-ef79-4f71-b89b-cd6aa82426b8;#32;#RO|feb747a2-64cd-4299-af12-4833ddc30497;#12;#EN|f2175f21-25d7-44a3-96da-d6a61b075e1b;#30;#DA|5d49c027-8956-412b-aa16-</vt:lpwstr>
  </property>
  <property fmtid="{D5CDD505-2E9C-101B-9397-08002B2CF9AE}" pid="7" name="DossierName_0">
    <vt:lpwstr/>
  </property>
  <property fmtid="{D5CDD505-2E9C-101B-9397-08002B2CF9AE}" pid="8" name="DocumentSource_0">
    <vt:lpwstr>CoR|cb2d75ef-4a7d-4393-b797-49ed6298a5ea</vt:lpwstr>
  </property>
  <property fmtid="{D5CDD505-2E9C-101B-9397-08002B2CF9AE}" pid="9" name="ProductionDate">
    <vt:filetime>2017-07-03T12:00:00Z</vt:filetime>
  </property>
  <property fmtid="{D5CDD505-2E9C-101B-9397-08002B2CF9AE}" pid="10" name="DocumentNumber">
    <vt:i4>2424</vt:i4>
  </property>
  <property fmtid="{D5CDD505-2E9C-101B-9397-08002B2CF9AE}" pid="11" name="FicheYear">
    <vt:i4>2017</vt:i4>
  </property>
  <property fmtid="{D5CDD505-2E9C-101B-9397-08002B2CF9AE}" pid="12" name="DocumentVersion">
    <vt:i4>0</vt:i4>
  </property>
  <property fmtid="{D5CDD505-2E9C-101B-9397-08002B2CF9AE}" pid="13" name="DocumentStatus">
    <vt:lpwstr>43;#REF|722611fd-7eaf-44e3-8780-a3226646f5f0</vt:lpwstr>
  </property>
  <property fmtid="{D5CDD505-2E9C-101B-9397-08002B2CF9AE}" pid="14" name="DossierName">
    <vt:lpwstr/>
  </property>
  <property fmtid="{D5CDD505-2E9C-101B-9397-08002B2CF9AE}" pid="15" name="Confidentiality">
    <vt:lpwstr>10;#Unrestricted|826e22d7-d029-4ec0-a450-0c28ff673572</vt:lpwstr>
  </property>
  <property fmtid="{D5CDD505-2E9C-101B-9397-08002B2CF9AE}" pid="16" name="Confidentiality_0">
    <vt:lpwstr>Unrestricted|826e22d7-d029-4ec0-a450-0c28ff673572</vt:lpwstr>
  </property>
  <property fmtid="{D5CDD505-2E9C-101B-9397-08002B2CF9AE}" pid="17" name="OriginalLanguage">
    <vt:lpwstr>12;#EN|f2175f21-25d7-44a3-96da-d6a61b075e1b</vt:lpwstr>
  </property>
  <property fmtid="{D5CDD505-2E9C-101B-9397-08002B2CF9AE}" pid="18" name="MeetingName">
    <vt:lpwstr>66;#BUR CDR|c746c8a5-35bb-487b-9ea7-3f1412c8eddb</vt:lpwstr>
  </property>
  <property fmtid="{D5CDD505-2E9C-101B-9397-08002B2CF9AE}" pid="19" name="MeetingDate">
    <vt:filetime>2017-07-11T12:00:00Z</vt:filetime>
  </property>
  <property fmtid="{D5CDD505-2E9C-101B-9397-08002B2CF9AE}" pid="20" name="TaxCatchAll">
    <vt:lpwstr>43;#REF|722611fd-7eaf-44e3-8780-a3226646f5f0;#41;#ET|ff6c3f4c-b02c-4c3c-ab07-2c37995a7a0a;#40;#HR|2f555653-ed1a-4fe6-8362-9082d95989e5;#39;#BG|1a1b3951-7821-4e6a-85f5-5673fc08bd2c;#38;#ES|e7a6b05b-ae16-40c8-add9-68b64b03aeba;#36;#FI|87606a43-d45f-42d6-b8c</vt:lpwstr>
  </property>
  <property fmtid="{D5CDD505-2E9C-101B-9397-08002B2CF9AE}" pid="21" name="DocumentLanguage_0">
    <vt:lpwstr>EN|f2175f21-25d7-44a3-96da-d6a61b075e1b</vt:lpwstr>
  </property>
  <property fmtid="{D5CDD505-2E9C-101B-9397-08002B2CF9AE}" pid="22" name="DocumentStatus_0">
    <vt:lpwstr>REF|722611fd-7eaf-44e3-8780-a3226646f5f0</vt:lpwstr>
  </property>
  <property fmtid="{D5CDD505-2E9C-101B-9397-08002B2CF9AE}" pid="23" name="OriginalLanguage_0">
    <vt:lpwstr>EN|f2175f21-25d7-44a3-96da-d6a61b075e1b</vt:lpwstr>
  </property>
  <property fmtid="{D5CDD505-2E9C-101B-9397-08002B2CF9AE}" pid="24" name="AvailableTranslations_0">
    <vt:lpwstr>EL|6d4f4d51-af9b-4650-94b4-4276bee85c91;FR|d2afafd3-4c81-4f60-8f52-ee33f2f54ff3;EN|f2175f21-25d7-44a3-96da-d6a61b075e1b;DA|5d49c027-8956-412b-aa16-e85a0f96ad0e;HR|2f555653-ed1a-4fe6-8362-9082d95989e5;HU|6b229040-c589-4408-b4c1-4285663d20a8;FI|87606a43-d45</vt:lpwstr>
  </property>
  <property fmtid="{D5CDD505-2E9C-101B-9397-08002B2CF9AE}" pid="25" name="VersionStatus">
    <vt:lpwstr>6;#Final|ea5e6674-7b27-4bac-b091-73adbb394efe</vt:lpwstr>
  </property>
  <property fmtid="{D5CDD505-2E9C-101B-9397-08002B2CF9AE}" pid="26" name="VersionStatus_0">
    <vt:lpwstr>Final|ea5e6674-7b27-4bac-b091-73adbb394efe</vt:lpwstr>
  </property>
  <property fmtid="{D5CDD505-2E9C-101B-9397-08002B2CF9AE}" pid="27" name="FicheNumber">
    <vt:i4>7349</vt:i4>
  </property>
  <property fmtid="{D5CDD505-2E9C-101B-9397-08002B2CF9AE}" pid="28" name="DocumentYear">
    <vt:i4>2017</vt:i4>
  </property>
  <property fmtid="{D5CDD505-2E9C-101B-9397-08002B2CF9AE}" pid="29" name="DocumentSource">
    <vt:lpwstr>1;#CoR|cb2d75ef-4a7d-4393-b797-49ed6298a5ea</vt:lpwstr>
  </property>
  <property fmtid="{D5CDD505-2E9C-101B-9397-08002B2CF9AE}" pid="30" name="DocumentType">
    <vt:lpwstr>107;#ANN|77e6295a-5435-4751-8cb4-ca5555443730</vt:lpwstr>
  </property>
  <property fmtid="{D5CDD505-2E9C-101B-9397-08002B2CF9AE}" pid="31" name="DocumentPart">
    <vt:i4>0</vt:i4>
  </property>
  <property fmtid="{D5CDD505-2E9C-101B-9397-08002B2CF9AE}" pid="32" name="MeetingName_0">
    <vt:lpwstr>BUR CDR|c746c8a5-35bb-487b-9ea7-3f1412c8eddb</vt:lpwstr>
  </property>
  <property fmtid="{D5CDD505-2E9C-101B-9397-08002B2CF9AE}" pid="33" name="RequestingService">
    <vt:lpwstr>Organes statutaires et réunions</vt:lpwstr>
  </property>
  <property fmtid="{D5CDD505-2E9C-101B-9397-08002B2CF9AE}" pid="34" name="DocumentLanguage">
    <vt:lpwstr>12;#EN|f2175f21-25d7-44a3-96da-d6a61b075e1b</vt:lpwstr>
  </property>
</Properties>
</file>