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8"/>
        <w:gridCol w:w="7372"/>
      </w:tblGrid>
      <w:tr w:rsidR="00E156F3" w:rsidRPr="00BA7301" w14:paraId="780F7C20" w14:textId="77777777" w:rsidTr="003322BE">
        <w:trPr>
          <w:trHeight w:val="1136"/>
          <w:jc w:val="center"/>
        </w:trPr>
        <w:tc>
          <w:tcPr>
            <w:tcW w:w="3128" w:type="dxa"/>
            <w:vMerge w:val="restart"/>
          </w:tcPr>
          <w:p w14:paraId="087627A4" w14:textId="770483FA" w:rsidR="00E156F3" w:rsidRPr="00BA7301" w:rsidRDefault="00ED5F1B" w:rsidP="00523E56">
            <w:pPr>
              <w:ind w:left="9"/>
              <w:jc w:val="left"/>
            </w:pPr>
            <w:r w:rsidRPr="00BA7301">
              <w:rPr>
                <w:b/>
                <w:bCs/>
                <w:noProof/>
                <w:sz w:val="32"/>
                <w:lang w:val="fr-BE" w:eastAsia="fr-BE" w:bidi="ar-SA"/>
              </w:rPr>
              <w:drawing>
                <wp:inline distT="0" distB="0" distL="0" distR="0" wp14:anchorId="0347F96C" wp14:editId="7B38516A">
                  <wp:extent cx="1800000" cy="1558636"/>
                  <wp:effectExtent l="0" t="0" r="0" b="3810"/>
                  <wp:docPr id="1" name="Picture 1" descr="C:\Users\mreg\Music\New LOGO CoR\Logo\logo_CoR-vertical-positive-fi-quadri_MR.jpg" title="CoRLogo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i-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c>
          <w:tcPr>
            <w:tcW w:w="7372" w:type="dxa"/>
            <w:vAlign w:val="center"/>
          </w:tcPr>
          <w:p w14:paraId="37DB6DC9" w14:textId="77777777" w:rsidR="00E156F3" w:rsidRPr="00BA7301" w:rsidRDefault="00E156F3" w:rsidP="00B5338E">
            <w:pPr>
              <w:pStyle w:val="pressrelease"/>
              <w:rPr>
                <w:sz w:val="56"/>
                <w:szCs w:val="56"/>
              </w:rPr>
            </w:pPr>
            <w:r w:rsidRPr="00BA7301">
              <w:rPr>
                <w:sz w:val="56"/>
              </w:rPr>
              <w:t>Lehdistötiedote</w:t>
            </w:r>
          </w:p>
        </w:tc>
      </w:tr>
      <w:tr w:rsidR="00E156F3" w:rsidRPr="00BA7301" w14:paraId="0FC7969A" w14:textId="77777777" w:rsidTr="003322BE">
        <w:trPr>
          <w:trHeight w:val="842"/>
          <w:jc w:val="center"/>
        </w:trPr>
        <w:tc>
          <w:tcPr>
            <w:tcW w:w="3128" w:type="dxa"/>
            <w:vMerge/>
          </w:tcPr>
          <w:p w14:paraId="1FADCA95" w14:textId="77777777" w:rsidR="00E156F3" w:rsidRPr="00BA7301" w:rsidRDefault="00E156F3" w:rsidP="00BB0D77">
            <w:pPr>
              <w:jc w:val="left"/>
            </w:pPr>
          </w:p>
        </w:tc>
        <w:tc>
          <w:tcPr>
            <w:tcW w:w="7372" w:type="dxa"/>
            <w:vAlign w:val="center"/>
          </w:tcPr>
          <w:p w14:paraId="00EA60EA" w14:textId="77777777" w:rsidR="00B5338E" w:rsidRPr="00BA7301" w:rsidRDefault="00B5338E" w:rsidP="00E156F3">
            <w:pPr>
              <w:pStyle w:val="Date1"/>
            </w:pPr>
          </w:p>
          <w:p w14:paraId="694178E3" w14:textId="1BF96F43" w:rsidR="00E156F3" w:rsidRPr="00BA7301" w:rsidRDefault="00E156F3" w:rsidP="00FE00BF">
            <w:pPr>
              <w:pStyle w:val="Date1"/>
              <w:rPr>
                <w:sz w:val="56"/>
                <w:szCs w:val="56"/>
              </w:rPr>
            </w:pPr>
            <w:r w:rsidRPr="00BA7301">
              <w:t>CoR/1</w:t>
            </w:r>
            <w:r w:rsidR="00FE00BF">
              <w:t>8</w:t>
            </w:r>
            <w:r w:rsidRPr="00BA7301">
              <w:t xml:space="preserve">/xx.fi </w:t>
            </w:r>
            <w:r w:rsidRPr="00BA7301">
              <w:br/>
              <w:t>Bryssel &lt;. &lt;kuuta &lt;&lt;</w:t>
            </w:r>
          </w:p>
        </w:tc>
      </w:tr>
    </w:tbl>
    <w:p w14:paraId="3005EE4D" w14:textId="77777777" w:rsidR="00EC18F0" w:rsidRPr="00BA7301" w:rsidRDefault="00EC18F0"/>
    <w:tbl>
      <w:tblPr>
        <w:tblStyle w:val="TableGrid"/>
        <w:tblW w:w="10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BA7301" w14:paraId="35A559F0" w14:textId="77777777" w:rsidTr="0053209E">
        <w:trPr>
          <w:trHeight w:val="750"/>
          <w:jc w:val="center"/>
        </w:trPr>
        <w:tc>
          <w:tcPr>
            <w:tcW w:w="10498" w:type="dxa"/>
          </w:tcPr>
          <w:p w14:paraId="5430301D" w14:textId="5D2CBCF1" w:rsidR="000001F7" w:rsidRPr="00BA7301" w:rsidRDefault="0053209E" w:rsidP="002C3F6F">
            <w:pPr>
              <w:pStyle w:val="Title"/>
              <w:ind w:left="720" w:hanging="720"/>
              <w:rPr>
                <w:sz w:val="24"/>
                <w:szCs w:val="24"/>
              </w:rPr>
            </w:pPr>
            <w:r w:rsidRPr="0053209E">
              <w:rPr>
                <w:sz w:val="24"/>
              </w:rPr>
              <w:t>Alueiden ehdotukset</w:t>
            </w:r>
            <w:r>
              <w:rPr>
                <w:sz w:val="24"/>
              </w:rPr>
              <w:t xml:space="preserve"> </w:t>
            </w:r>
            <w:r>
              <w:rPr>
                <w:sz w:val="24"/>
                <w:szCs w:val="24"/>
              </w:rPr>
              <w:t>koheesiopolitiikan</w:t>
            </w:r>
            <w:r w:rsidR="00357027">
              <w:rPr>
                <w:sz w:val="24"/>
                <w:szCs w:val="24"/>
              </w:rPr>
              <w:t xml:space="preserve"> parantamiseksi kaudella </w:t>
            </w:r>
            <w:r w:rsidR="00357027">
              <w:rPr>
                <w:sz w:val="24"/>
                <w:szCs w:val="24"/>
              </w:rPr>
              <w:t>2021–2027</w:t>
            </w:r>
          </w:p>
          <w:p w14:paraId="5F6214F6" w14:textId="50CB02C6" w:rsidR="002C3F6F" w:rsidRPr="00BA7301" w:rsidRDefault="002C3F6F" w:rsidP="002C3F6F"/>
        </w:tc>
      </w:tr>
      <w:tr w:rsidR="0022540B" w:rsidRPr="00BA7301" w14:paraId="2F85D30D" w14:textId="77777777" w:rsidTr="0053209E">
        <w:trPr>
          <w:trHeight w:val="2629"/>
          <w:jc w:val="center"/>
        </w:trPr>
        <w:tc>
          <w:tcPr>
            <w:tcW w:w="10498" w:type="dxa"/>
          </w:tcPr>
          <w:p w14:paraId="3024CF5B" w14:textId="350CADA1" w:rsidR="00692D0E" w:rsidRPr="007043F2" w:rsidRDefault="0053209E" w:rsidP="00A20542">
            <w:pPr>
              <w:rPr>
                <w:b/>
                <w:color w:val="000000" w:themeColor="text1"/>
                <w:u w:val="single"/>
              </w:rPr>
            </w:pPr>
            <w:r w:rsidRPr="007043F2">
              <w:rPr>
                <w:b/>
                <w:color w:val="000000" w:themeColor="text1"/>
                <w:u w:val="single"/>
              </w:rPr>
              <w:t>Yhteisiä säännöksiä koskeva asetus</w:t>
            </w:r>
          </w:p>
          <w:p w14:paraId="5CE16A52" w14:textId="3DC678F3" w:rsidR="0053209E" w:rsidRDefault="00357027" w:rsidP="0053209E">
            <w:pPr>
              <w:pStyle w:val="ListParagraph"/>
              <w:numPr>
                <w:ilvl w:val="0"/>
                <w:numId w:val="1"/>
              </w:numPr>
              <w:ind w:left="256" w:hanging="296"/>
              <w:rPr>
                <w:color w:val="000000" w:themeColor="text1"/>
              </w:rPr>
            </w:pPr>
            <w:r>
              <w:rPr>
                <w:color w:val="000000" w:themeColor="text1"/>
              </w:rPr>
              <w:t>K</w:t>
            </w:r>
            <w:r w:rsidR="0053209E" w:rsidRPr="0053209E">
              <w:rPr>
                <w:color w:val="000000" w:themeColor="text1"/>
              </w:rPr>
              <w:t>oheesiopolitiikasta tulee tehdä yksinkertaisempaa ja joustavampaa niin, että kevennetään tuensaajille ja hallintoviranomaisille aiheut</w:t>
            </w:r>
            <w:r w:rsidR="0053209E">
              <w:rPr>
                <w:color w:val="000000" w:themeColor="text1"/>
              </w:rPr>
              <w:t xml:space="preserve">uvaa hallinnollista rasitetta. </w:t>
            </w:r>
            <w:r w:rsidR="0053209E" w:rsidRPr="0053209E">
              <w:rPr>
                <w:color w:val="000000" w:themeColor="text1"/>
              </w:rPr>
              <w:t>Yksinkertaistaminen ei saa kuitenkaan vaarantaa alueiden, kuntien ja paikallisten sidosryhmien osallistumista</w:t>
            </w:r>
            <w:r w:rsidR="0053209E">
              <w:rPr>
                <w:color w:val="000000" w:themeColor="text1"/>
              </w:rPr>
              <w:t>.</w:t>
            </w:r>
          </w:p>
          <w:p w14:paraId="2AB28BA9" w14:textId="77777777" w:rsidR="0053209E" w:rsidRPr="00D83AF9" w:rsidRDefault="0053209E" w:rsidP="0053209E">
            <w:pPr>
              <w:pStyle w:val="ListParagraph"/>
              <w:numPr>
                <w:ilvl w:val="0"/>
                <w:numId w:val="1"/>
              </w:numPr>
              <w:ind w:left="256" w:hanging="296"/>
              <w:rPr>
                <w:color w:val="000000" w:themeColor="text1"/>
              </w:rPr>
            </w:pPr>
            <w:r>
              <w:rPr>
                <w:color w:val="000000" w:themeColor="text1"/>
              </w:rPr>
              <w:t>Minkään EU:n alueen ei pitäisi joutua kärsimään suhteettomista leikkauksista rahoitukseen vuoden 2020 jälkeen. Komission kansalliselle tasolle ehdottamaa ”turvaverkkoa” yksittäisten jäsenvaltioiden menetysten rajoittamiseksi tulisi soveltaa kansallisen tason sijaan aluetasolla.</w:t>
            </w:r>
          </w:p>
          <w:p w14:paraId="1EA497C8" w14:textId="77777777" w:rsidR="0053209E" w:rsidRPr="00D83AF9" w:rsidRDefault="0053209E" w:rsidP="0053209E">
            <w:pPr>
              <w:pStyle w:val="ListParagraph"/>
              <w:numPr>
                <w:ilvl w:val="0"/>
                <w:numId w:val="1"/>
              </w:numPr>
              <w:ind w:left="256" w:hanging="296"/>
              <w:rPr>
                <w:color w:val="000000" w:themeColor="text1"/>
              </w:rPr>
            </w:pPr>
            <w:r>
              <w:rPr>
                <w:color w:val="000000" w:themeColor="text1"/>
              </w:rPr>
              <w:t xml:space="preserve">Hankkeiden yhteisrahoitusaste tulisi säilyttää nykyisellä tasolla eli 85 prosentissa vähemmän kehittyneillä alueilla ja syrjäisimmillä alueilla sekä koheesiorahaston ja Euroopan alueellinen yhteistyö </w:t>
            </w:r>
            <w:r>
              <w:rPr>
                <w:color w:val="000000" w:themeColor="text1"/>
              </w:rPr>
              <w:noBreakHyphen/>
              <w:t>tavoitteen yhteydessä 70 prosentissa siirtymäalueilla ja 50 prosentissa kehittyneemmillä alueilla.</w:t>
            </w:r>
          </w:p>
          <w:p w14:paraId="1B755CFF" w14:textId="77777777" w:rsidR="00357027" w:rsidRPr="00357027" w:rsidRDefault="0053209E" w:rsidP="0053209E">
            <w:pPr>
              <w:pStyle w:val="ListParagraph"/>
              <w:numPr>
                <w:ilvl w:val="0"/>
                <w:numId w:val="1"/>
              </w:numPr>
              <w:ind w:left="256" w:hanging="296"/>
              <w:rPr>
                <w:b/>
                <w:color w:val="000000" w:themeColor="text1"/>
              </w:rPr>
            </w:pPr>
            <w:r w:rsidRPr="00357027">
              <w:rPr>
                <w:color w:val="000000" w:themeColor="text1"/>
              </w:rPr>
              <w:t>Nykyinen n+3-sääntö – jonka mukaan EU:n rahoitus perutaan, jos määrärahoja ei ole käytetty suunniteltujen kulujen kattamiseksi kolmen vuoden sisällä – tulisi säilyttää. Komission ehdotuksessa määräaikaa lyhennetään kahteen vuoteen. Tämä aiheuttaisi päällekkäisyyttä 2014–2020 ohjelmien päättämisen ja uusien ohjelmien ensimmäisen n+2-kiintopisteen kanssa, mistä aiheutuisi suuri hallinnollinen rasite ohjelmien täytäntöönpanoon.</w:t>
            </w:r>
          </w:p>
          <w:p w14:paraId="426DCB29" w14:textId="007D61BB" w:rsidR="0053209E" w:rsidRPr="00357027" w:rsidRDefault="0053209E" w:rsidP="0053209E">
            <w:pPr>
              <w:pStyle w:val="ListParagraph"/>
              <w:numPr>
                <w:ilvl w:val="0"/>
                <w:numId w:val="1"/>
              </w:numPr>
              <w:ind w:left="256" w:hanging="296"/>
              <w:rPr>
                <w:b/>
                <w:color w:val="000000" w:themeColor="text1"/>
              </w:rPr>
            </w:pPr>
            <w:r w:rsidRPr="00357027">
              <w:rPr>
                <w:color w:val="000000" w:themeColor="text1"/>
              </w:rPr>
              <w:t xml:space="preserve">Makrotaloudelliset ehdot, joiden nojalla </w:t>
            </w:r>
            <w:proofErr w:type="spellStart"/>
            <w:r w:rsidRPr="00357027">
              <w:rPr>
                <w:color w:val="000000" w:themeColor="text1"/>
              </w:rPr>
              <w:t>ERI-rahastovaroja</w:t>
            </w:r>
            <w:proofErr w:type="spellEnd"/>
            <w:r w:rsidRPr="00357027">
              <w:rPr>
                <w:color w:val="000000" w:themeColor="text1"/>
              </w:rPr>
              <w:t xml:space="preserve"> voidaan jäädyttää maissa, missä valtiovalta ei noudata EU:n budjettikuria, on poistetta</w:t>
            </w:r>
            <w:bookmarkStart w:id="0" w:name="_GoBack"/>
            <w:bookmarkEnd w:id="0"/>
            <w:r w:rsidRPr="00357027">
              <w:rPr>
                <w:color w:val="000000" w:themeColor="text1"/>
              </w:rPr>
              <w:t>va uudesta asetuksesta, sillä se rankaisee paikallisviranomaisia valinnoista, jotka eivät ole näiden käsissä, ja aiheuttaa vahingollista epävarmuutta investointisuunnitelmien toteuttamisessa.</w:t>
            </w:r>
          </w:p>
          <w:p w14:paraId="2913EEED" w14:textId="77777777" w:rsidR="0053209E" w:rsidRDefault="0053209E" w:rsidP="00A20542">
            <w:pPr>
              <w:rPr>
                <w:b/>
                <w:color w:val="000000" w:themeColor="text1"/>
                <w:u w:val="single"/>
              </w:rPr>
            </w:pPr>
          </w:p>
          <w:p w14:paraId="0F3392FB" w14:textId="7C176894" w:rsidR="00AD07B8" w:rsidRDefault="0053209E" w:rsidP="00A20542">
            <w:pPr>
              <w:rPr>
                <w:b/>
                <w:color w:val="000000" w:themeColor="text1"/>
                <w:u w:val="single"/>
              </w:rPr>
            </w:pPr>
            <w:r>
              <w:rPr>
                <w:b/>
                <w:color w:val="000000" w:themeColor="text1"/>
                <w:u w:val="single"/>
              </w:rPr>
              <w:t>Euroopan aluekehitysrahasto (EAKR) ja koheesiorahasto</w:t>
            </w:r>
          </w:p>
          <w:p w14:paraId="3A8EBEEB" w14:textId="77777777" w:rsidR="0053209E" w:rsidRPr="00D83AF9" w:rsidRDefault="0053209E" w:rsidP="0053209E">
            <w:pPr>
              <w:pStyle w:val="ListParagraph"/>
              <w:numPr>
                <w:ilvl w:val="0"/>
                <w:numId w:val="2"/>
              </w:numPr>
              <w:ind w:left="256" w:hanging="244"/>
              <w:rPr>
                <w:rFonts w:ascii="Calibri" w:hAnsi="Calibri" w:cs="Times New Roman"/>
                <w:sz w:val="22"/>
                <w:szCs w:val="22"/>
              </w:rPr>
            </w:pPr>
            <w:r>
              <w:t>Yhteisiä säännöksiä koskevan asetuksen ja rahastokohtaisten sääntöjen tulisi varmistaa EAKR:n, maaseuturahaston ja ESR:n välinen täydentävyys ja synergiat toteutettaessa yhdennettyjä alueellisia investointeja ja yhteisölähtöisen paikallisen kehittämisen aloitteita.</w:t>
            </w:r>
          </w:p>
          <w:p w14:paraId="113F1198" w14:textId="77777777" w:rsidR="0053209E" w:rsidRPr="00A30E67" w:rsidRDefault="0053209E" w:rsidP="0053209E">
            <w:pPr>
              <w:pStyle w:val="ListParagraph"/>
              <w:numPr>
                <w:ilvl w:val="0"/>
                <w:numId w:val="2"/>
              </w:numPr>
              <w:ind w:left="256" w:hanging="244"/>
            </w:pPr>
            <w:r>
              <w:t>Rahastoista pitäisi tulla ”vihreämpiä”, jotta alueet voisivat rahoittaa ilmastonmuutokseen sopeutumiseen tähtääviä toimia ja parantaa kykyä selviytyä luonnonkatastrofeista.</w:t>
            </w:r>
          </w:p>
          <w:p w14:paraId="3B92ADFD" w14:textId="77777777" w:rsidR="0053209E" w:rsidRPr="00A30E67" w:rsidRDefault="0053209E" w:rsidP="0053209E">
            <w:pPr>
              <w:pStyle w:val="ListParagraph"/>
              <w:numPr>
                <w:ilvl w:val="0"/>
                <w:numId w:val="2"/>
              </w:numPr>
              <w:ind w:left="256" w:hanging="244"/>
            </w:pPr>
            <w:r>
              <w:t xml:space="preserve">Jäsenvaltioiden tulee päättää EAKR- tai koheesiorahastovarojen siirtämisestä EU:n muihin välineisiin tai ohjelmiin niin, että ne osallistavat paikalliset ja alueelliset kumppanit kumppanuusperiaatteen mukaisesti. Ehdotetusta EAKR- tai koheesiorahastovarojen 5 prosentin siirrosta </w:t>
            </w:r>
            <w:proofErr w:type="spellStart"/>
            <w:r>
              <w:t>InvestEU-välineeseen</w:t>
            </w:r>
            <w:proofErr w:type="spellEnd"/>
            <w:r>
              <w:t xml:space="preserve"> ja EAKR-määrärahojen vielä toisen 5 prosentin kappaleen siirrosta komission suoraan hallinnoimiin EU-ohjelmiin tulisi sopia alueiden ja kuntien kanssa, ja siirroissa tulisi ottaa huomioon paikalliset tarpeet. </w:t>
            </w:r>
          </w:p>
          <w:p w14:paraId="05299E7A" w14:textId="77777777" w:rsidR="0053209E" w:rsidRPr="00A30E67" w:rsidRDefault="0053209E" w:rsidP="0053209E">
            <w:pPr>
              <w:pStyle w:val="ListParagraph"/>
              <w:numPr>
                <w:ilvl w:val="0"/>
                <w:numId w:val="2"/>
              </w:numPr>
              <w:ind w:left="256" w:hanging="244"/>
            </w:pPr>
            <w:r>
              <w:t xml:space="preserve">Kestävää kaupunkikehitystä on painotettava entistä vahvemmin niin, että siihen kohdennetaan vähintään 6 prosenttia kansallisella tasolla osoitetuista EAKR:n varoista komission ehdotuksen mukaisesti. </w:t>
            </w:r>
          </w:p>
          <w:p w14:paraId="28B16073" w14:textId="77777777" w:rsidR="0053209E" w:rsidRPr="00A30E67" w:rsidRDefault="0053209E" w:rsidP="0053209E">
            <w:pPr>
              <w:pStyle w:val="ListParagraph"/>
              <w:numPr>
                <w:ilvl w:val="0"/>
                <w:numId w:val="2"/>
              </w:numPr>
              <w:ind w:left="256" w:hanging="244"/>
            </w:pPr>
            <w:r>
              <w:t>EAKR:n avulla olisi puututtava vakaviin ja pysyviin haittoihin, jotka liittyvät luontoon tai väestöön.</w:t>
            </w:r>
          </w:p>
          <w:p w14:paraId="7F4D0151" w14:textId="77777777" w:rsidR="0053209E" w:rsidRDefault="0053209E" w:rsidP="00A20542">
            <w:pPr>
              <w:rPr>
                <w:color w:val="000000" w:themeColor="text1"/>
              </w:rPr>
            </w:pPr>
          </w:p>
          <w:p w14:paraId="708E8003" w14:textId="25D1E0F0" w:rsidR="0053209E" w:rsidRDefault="0053209E" w:rsidP="00A20542">
            <w:pPr>
              <w:rPr>
                <w:b/>
                <w:color w:val="000000" w:themeColor="text1"/>
                <w:u w:val="single"/>
              </w:rPr>
            </w:pPr>
            <w:r>
              <w:rPr>
                <w:b/>
                <w:color w:val="000000" w:themeColor="text1"/>
                <w:u w:val="single"/>
              </w:rPr>
              <w:t>Euroopan sosiaalirahasto plus (ESR)</w:t>
            </w:r>
          </w:p>
          <w:p w14:paraId="16AF5793" w14:textId="285A47D8" w:rsidR="0053209E" w:rsidRDefault="00357027" w:rsidP="0053209E">
            <w:pPr>
              <w:pStyle w:val="ListParagraph"/>
              <w:numPr>
                <w:ilvl w:val="0"/>
                <w:numId w:val="3"/>
              </w:numPr>
              <w:ind w:left="284" w:hanging="272"/>
              <w:rPr>
                <w:color w:val="000000" w:themeColor="text1"/>
              </w:rPr>
            </w:pPr>
            <w:r>
              <w:rPr>
                <w:color w:val="000000" w:themeColor="text1"/>
              </w:rPr>
              <w:t xml:space="preserve">Kunnat ja alueet pitävät tervetulleena </w:t>
            </w:r>
            <w:proofErr w:type="spellStart"/>
            <w:r w:rsidR="0053209E">
              <w:rPr>
                <w:color w:val="000000" w:themeColor="text1"/>
              </w:rPr>
              <w:t>ESR+:n</w:t>
            </w:r>
            <w:proofErr w:type="spellEnd"/>
            <w:r w:rsidR="0053209E">
              <w:rPr>
                <w:color w:val="000000" w:themeColor="text1"/>
              </w:rPr>
              <w:t xml:space="preserve"> suoraa yhteyttä Euroopan sosiaalisten oikeuksien pilariin ja jäsenvaltioiden makrotalouspolitiikkojen koordinointiin talouspolitiikan eurooppalaisen ohjausjakson puitteissa, sillä näin vahvistetaan eurooppalaisen ohjausjakson ja koheesiopolitiikan eurooppalaista sosiaalista ulottuvuutta.</w:t>
            </w:r>
          </w:p>
          <w:p w14:paraId="6B3C1219" w14:textId="09A76CA2" w:rsidR="0053209E" w:rsidRPr="00D83AF9" w:rsidRDefault="0053209E" w:rsidP="0053209E">
            <w:pPr>
              <w:pStyle w:val="ListParagraph"/>
              <w:numPr>
                <w:ilvl w:val="0"/>
                <w:numId w:val="3"/>
              </w:numPr>
              <w:ind w:left="284" w:hanging="272"/>
              <w:rPr>
                <w:color w:val="000000" w:themeColor="text1"/>
              </w:rPr>
            </w:pPr>
            <w:r>
              <w:rPr>
                <w:color w:val="000000" w:themeColor="text1"/>
              </w:rPr>
              <w:t>ESR+</w:t>
            </w:r>
            <w:r w:rsidR="00357027">
              <w:rPr>
                <w:color w:val="000000" w:themeColor="text1"/>
              </w:rPr>
              <w:t xml:space="preserve"> tarvitsee riittävät varat </w:t>
            </w:r>
            <w:r>
              <w:rPr>
                <w:color w:val="000000" w:themeColor="text1"/>
              </w:rPr>
              <w:t xml:space="preserve">asetettujen lisätavoitteiden kattamiseksi. </w:t>
            </w:r>
            <w:r w:rsidR="00357027">
              <w:rPr>
                <w:color w:val="000000" w:themeColor="text1"/>
              </w:rPr>
              <w:t>J</w:t>
            </w:r>
            <w:r w:rsidR="00357027">
              <w:rPr>
                <w:color w:val="000000" w:themeColor="text1"/>
              </w:rPr>
              <w:t>os määrärahat pidetään entisellä tasolla</w:t>
            </w:r>
            <w:r w:rsidR="00357027">
              <w:rPr>
                <w:color w:val="000000" w:themeColor="text1"/>
              </w:rPr>
              <w:t>, u</w:t>
            </w:r>
            <w:r>
              <w:rPr>
                <w:color w:val="000000" w:themeColor="text1"/>
              </w:rPr>
              <w:t>usien tehtävien lisääminen johtaa huomattaviin leikkauksiin ja vaikutuksen heikkenemiseen.</w:t>
            </w:r>
          </w:p>
          <w:p w14:paraId="7A8F3127" w14:textId="1F6DBA48" w:rsidR="0053209E" w:rsidRPr="00D83AF9" w:rsidRDefault="00357027" w:rsidP="0053209E">
            <w:pPr>
              <w:pStyle w:val="ListParagraph"/>
              <w:numPr>
                <w:ilvl w:val="0"/>
                <w:numId w:val="3"/>
              </w:numPr>
              <w:ind w:left="284" w:hanging="272"/>
              <w:rPr>
                <w:color w:val="000000" w:themeColor="text1"/>
              </w:rPr>
            </w:pPr>
            <w:r>
              <w:rPr>
                <w:color w:val="000000" w:themeColor="text1"/>
              </w:rPr>
              <w:t xml:space="preserve">ESR+ on liitettävä </w:t>
            </w:r>
            <w:r w:rsidR="0053209E">
              <w:rPr>
                <w:color w:val="000000" w:themeColor="text1"/>
              </w:rPr>
              <w:t>taloudellisesti Euroopan aluekehitysrahastoon ja koheesiorahastoon. Komission ehdottama erottaminen voi merkitä koheesiopolitiikan mahdollista hajoamista, mikä voimistaa aiemmin päätetyn maaseuturahaston erottamisen kielteisiä vaikutuksia.</w:t>
            </w:r>
          </w:p>
          <w:p w14:paraId="625DB0E8" w14:textId="6AE00B96" w:rsidR="0053209E" w:rsidRPr="00D83AF9" w:rsidRDefault="0053209E" w:rsidP="0053209E">
            <w:pPr>
              <w:pStyle w:val="ListParagraph"/>
              <w:numPr>
                <w:ilvl w:val="0"/>
                <w:numId w:val="3"/>
              </w:numPr>
              <w:ind w:left="284" w:hanging="272"/>
              <w:rPr>
                <w:color w:val="000000" w:themeColor="text1"/>
              </w:rPr>
            </w:pPr>
            <w:r>
              <w:rPr>
                <w:color w:val="000000" w:themeColor="text1"/>
              </w:rPr>
              <w:t>ESR+</w:t>
            </w:r>
            <w:r w:rsidR="00357027">
              <w:rPr>
                <w:color w:val="000000" w:themeColor="text1"/>
              </w:rPr>
              <w:t xml:space="preserve"> tulee avata </w:t>
            </w:r>
            <w:r>
              <w:rPr>
                <w:color w:val="000000" w:themeColor="text1"/>
              </w:rPr>
              <w:t>sosiaalisen innovoinnin alaan kuuluville toimille komission ehdottamaan tapaan. On kuitenkin tarpeen vahvistaa ennalta toimijoiden valmiuksia suunnitella, toteuttaa ja arvioida alan ohjelmia.</w:t>
            </w:r>
          </w:p>
          <w:p w14:paraId="3F58AB58" w14:textId="16D23357" w:rsidR="0053209E" w:rsidRDefault="00357027" w:rsidP="0053209E">
            <w:pPr>
              <w:pStyle w:val="ListParagraph"/>
              <w:numPr>
                <w:ilvl w:val="0"/>
                <w:numId w:val="3"/>
              </w:numPr>
              <w:ind w:left="284" w:hanging="272"/>
              <w:rPr>
                <w:color w:val="000000" w:themeColor="text1"/>
              </w:rPr>
            </w:pPr>
            <w:r>
              <w:rPr>
                <w:color w:val="000000" w:themeColor="text1"/>
              </w:rPr>
              <w:t xml:space="preserve">On tunnustettava </w:t>
            </w:r>
            <w:r w:rsidR="0053209E">
              <w:rPr>
                <w:color w:val="000000" w:themeColor="text1"/>
              </w:rPr>
              <w:t>asianmukaisesti alueiden ja kuntien työn maahanmuuttajien sosioekonomisessa integroimisessa erityisesti unionin ulkorajoilla.</w:t>
            </w:r>
          </w:p>
          <w:p w14:paraId="19084056" w14:textId="77777777" w:rsidR="00357027" w:rsidRDefault="00357027" w:rsidP="007043F2">
            <w:pPr>
              <w:rPr>
                <w:rStyle w:val="Strong"/>
                <w:color w:val="000000" w:themeColor="text1"/>
                <w:u w:val="single"/>
              </w:rPr>
            </w:pPr>
          </w:p>
          <w:p w14:paraId="560B1CA4" w14:textId="3CEA7CA9" w:rsidR="007043F2" w:rsidRDefault="007043F2" w:rsidP="007043F2">
            <w:pPr>
              <w:rPr>
                <w:rStyle w:val="Strong"/>
                <w:color w:val="000000" w:themeColor="text1"/>
                <w:u w:val="single"/>
              </w:rPr>
            </w:pPr>
            <w:r>
              <w:rPr>
                <w:rStyle w:val="Strong"/>
                <w:color w:val="000000" w:themeColor="text1"/>
                <w:u w:val="single"/>
              </w:rPr>
              <w:t>Euroopan alueellinen yhteistyö</w:t>
            </w:r>
          </w:p>
          <w:p w14:paraId="70424C15" w14:textId="1E6ABE25" w:rsidR="007043F2" w:rsidRDefault="007043F2" w:rsidP="007043F2">
            <w:pPr>
              <w:pStyle w:val="ListParagraph"/>
              <w:numPr>
                <w:ilvl w:val="0"/>
                <w:numId w:val="3"/>
              </w:numPr>
              <w:ind w:left="284" w:hanging="272"/>
              <w:rPr>
                <w:color w:val="000000" w:themeColor="text1"/>
              </w:rPr>
            </w:pPr>
            <w:r>
              <w:rPr>
                <w:color w:val="000000" w:themeColor="text1"/>
              </w:rPr>
              <w:t xml:space="preserve">Alueet ja kunnat eivät hyväksy komission ehdotusta alentaa Euroopan alueellisen yhteistyön määrärahoja 1 847 </w:t>
            </w:r>
            <w:r>
              <w:rPr>
                <w:color w:val="000000" w:themeColor="text1"/>
              </w:rPr>
              <w:lastRenderedPageBreak/>
              <w:t>miljardia euroa.</w:t>
            </w:r>
          </w:p>
          <w:p w14:paraId="279404B8" w14:textId="77777777" w:rsidR="007043F2" w:rsidRPr="007043F2" w:rsidRDefault="007043F2" w:rsidP="007043F2">
            <w:pPr>
              <w:pStyle w:val="ListParagraph"/>
              <w:numPr>
                <w:ilvl w:val="0"/>
                <w:numId w:val="3"/>
              </w:numPr>
              <w:ind w:left="284" w:hanging="272"/>
              <w:rPr>
                <w:color w:val="000000" w:themeColor="text1"/>
              </w:rPr>
            </w:pPr>
            <w:r w:rsidRPr="007043F2">
              <w:rPr>
                <w:color w:val="000000" w:themeColor="text1"/>
              </w:rPr>
              <w:t>Komitea vastustaa myös mielivaltaista ehdotusta osoittaa määrärahoja ensisijaisesti vain niille raja-alueille, joissa puolet väestöstä asuu 25 kilometrin säteellä rajasta, sillä tämä ei vastaa todellisuutta suurimmalla osalla raja-alueista.</w:t>
            </w:r>
          </w:p>
          <w:p w14:paraId="789D4EDE" w14:textId="6C98F1C4" w:rsidR="007043F2" w:rsidRDefault="007043F2" w:rsidP="007043F2">
            <w:pPr>
              <w:pStyle w:val="ListParagraph"/>
              <w:numPr>
                <w:ilvl w:val="0"/>
                <w:numId w:val="3"/>
              </w:numPr>
              <w:ind w:left="284" w:hanging="272"/>
              <w:rPr>
                <w:color w:val="000000" w:themeColor="text1"/>
              </w:rPr>
            </w:pPr>
            <w:r w:rsidRPr="007043F2">
              <w:rPr>
                <w:color w:val="000000" w:themeColor="text1"/>
              </w:rPr>
              <w:t xml:space="preserve">Alueet ja kunnat </w:t>
            </w:r>
            <w:r w:rsidR="00357027">
              <w:rPr>
                <w:color w:val="000000" w:themeColor="text1"/>
              </w:rPr>
              <w:t xml:space="preserve">vastustavat </w:t>
            </w:r>
            <w:r w:rsidRPr="007043F2">
              <w:rPr>
                <w:color w:val="000000" w:themeColor="text1"/>
              </w:rPr>
              <w:t>myös EU:n yhteisrahoitusosuuden laskemista 85 prosentista 70 prosenttiin.</w:t>
            </w:r>
            <w:r>
              <w:rPr>
                <w:color w:val="000000" w:themeColor="text1"/>
              </w:rPr>
              <w:t xml:space="preserve"> </w:t>
            </w:r>
          </w:p>
          <w:p w14:paraId="35480928" w14:textId="45E79096" w:rsidR="007043F2" w:rsidRPr="00A30E67" w:rsidRDefault="007043F2" w:rsidP="007043F2">
            <w:pPr>
              <w:pStyle w:val="ListParagraph"/>
              <w:numPr>
                <w:ilvl w:val="0"/>
                <w:numId w:val="3"/>
              </w:numPr>
              <w:ind w:left="284" w:hanging="272"/>
              <w:rPr>
                <w:color w:val="000000" w:themeColor="text1"/>
              </w:rPr>
            </w:pPr>
            <w:r>
              <w:rPr>
                <w:color w:val="000000" w:themeColor="text1"/>
              </w:rPr>
              <w:t>AK kannattaa alueiden välisten innovointi-investointien perustamista ja kehottaa ottamaan niihin mukaan myös alueet, jotka eivät kuulu innovatiivisimpien joukkoon ja joilla on maantieteellisiä ja luonnonoloihin liittyviä rajoituksia, innovaatiopuutteiden korjaamiseksi EU:ssa.</w:t>
            </w:r>
          </w:p>
          <w:p w14:paraId="53A32826" w14:textId="77777777" w:rsidR="007043F2" w:rsidRPr="007043F2" w:rsidRDefault="007043F2" w:rsidP="007043F2">
            <w:pPr>
              <w:rPr>
                <w:color w:val="000000" w:themeColor="text1"/>
              </w:rPr>
            </w:pPr>
          </w:p>
          <w:p w14:paraId="5687B70A" w14:textId="77777777" w:rsidR="005209B9" w:rsidRPr="00BA7301" w:rsidRDefault="005209B9" w:rsidP="00357027">
            <w:pPr>
              <w:jc w:val="left"/>
            </w:pPr>
          </w:p>
        </w:tc>
      </w:tr>
      <w:tr w:rsidR="0022540B" w:rsidRPr="00BA7301" w14:paraId="38D9D521" w14:textId="77777777" w:rsidTr="0053209E">
        <w:trPr>
          <w:jc w:val="center"/>
        </w:trPr>
        <w:tc>
          <w:tcPr>
            <w:tcW w:w="10498" w:type="dxa"/>
            <w:shd w:val="clear" w:color="auto" w:fill="EAEAEA"/>
            <w:tcMar>
              <w:top w:w="170" w:type="dxa"/>
              <w:left w:w="170" w:type="dxa"/>
              <w:bottom w:w="170" w:type="dxa"/>
              <w:right w:w="170" w:type="dxa"/>
            </w:tcMar>
          </w:tcPr>
          <w:p w14:paraId="3BFE5A16" w14:textId="764376E6" w:rsidR="00902438" w:rsidRPr="00BA7301" w:rsidRDefault="00902438" w:rsidP="00A20542">
            <w:pPr>
              <w:rPr>
                <w:szCs w:val="20"/>
              </w:rPr>
            </w:pPr>
            <w:r w:rsidRPr="00BA7301">
              <w:rPr>
                <w:noProof/>
                <w:szCs w:val="20"/>
                <w:lang w:val="fr-BE" w:eastAsia="fr-BE" w:bidi="ar-SA"/>
              </w:rPr>
              <w:lastRenderedPageBreak/>
              <w:drawing>
                <wp:inline distT="0" distB="0" distL="0" distR="0" wp14:anchorId="4F8C7091" wp14:editId="2D09D45B">
                  <wp:extent cx="277200" cy="277200"/>
                  <wp:effectExtent l="0" t="0" r="2540" b="2540"/>
                  <wp:docPr id="12" name="Picture 1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1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r w:rsidRPr="00BA7301">
              <w:rPr>
                <w:noProof/>
                <w:szCs w:val="20"/>
                <w:lang w:val="fr-BE" w:eastAsia="fr-BE" w:bidi="ar-SA"/>
              </w:rPr>
              <w:drawing>
                <wp:inline distT="0" distB="0" distL="0" distR="0" wp14:anchorId="4D62A4B3" wp14:editId="41A4ADDE">
                  <wp:extent cx="277200" cy="277200"/>
                  <wp:effectExtent l="0" t="0" r="2540" b="2540"/>
                  <wp:docPr id="13" name="Picture 1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r w:rsidRPr="00BA7301">
              <w:rPr>
                <w:noProof/>
                <w:szCs w:val="20"/>
                <w:lang w:val="fr-BE" w:eastAsia="fr-BE" w:bidi="ar-SA"/>
              </w:rPr>
              <w:drawing>
                <wp:inline distT="0" distB="0" distL="0" distR="0" wp14:anchorId="50F6502B" wp14:editId="0C11BA01">
                  <wp:extent cx="277200" cy="277200"/>
                  <wp:effectExtent l="0" t="0" r="2540" b="2540"/>
                  <wp:docPr id="14" name="Picture 1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r w:rsidRPr="00BA7301">
              <w:rPr>
                <w:noProof/>
                <w:szCs w:val="20"/>
                <w:lang w:val="fr-BE" w:eastAsia="fr-BE" w:bidi="ar-SA"/>
              </w:rPr>
              <w:drawing>
                <wp:inline distT="0" distB="0" distL="0" distR="0" wp14:anchorId="6A6F5BC0" wp14:editId="6F4A314F">
                  <wp:extent cx="277200" cy="277200"/>
                  <wp:effectExtent l="0" t="0" r="2540" b="2540"/>
                  <wp:docPr id="15" name="Picture 15">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r w:rsidRPr="00BA7301">
              <w:rPr>
                <w:noProof/>
                <w:szCs w:val="20"/>
                <w:lang w:val="fr-BE" w:eastAsia="fr-BE" w:bidi="ar-SA"/>
              </w:rPr>
              <w:drawing>
                <wp:inline distT="0" distB="0" distL="0" distR="0" wp14:anchorId="56A723ED" wp14:editId="1639DE86">
                  <wp:extent cx="277200" cy="277200"/>
                  <wp:effectExtent l="0" t="0" r="2540" b="2540"/>
                  <wp:docPr id="16" name="Picture 16">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r w:rsidRPr="00BA7301">
              <w:rPr>
                <w:noProof/>
                <w:szCs w:val="20"/>
                <w:lang w:val="fr-BE" w:eastAsia="fr-BE" w:bidi="ar-SA"/>
              </w:rPr>
              <w:drawing>
                <wp:inline distT="0" distB="0" distL="0" distR="0" wp14:anchorId="380345EF" wp14:editId="519969AB">
                  <wp:extent cx="277200" cy="277200"/>
                  <wp:effectExtent l="0" t="0" r="2540" b="254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BA7301">
              <w:t xml:space="preserve">  </w:t>
            </w:r>
          </w:p>
          <w:p w14:paraId="27D2D8F5" w14:textId="77777777" w:rsidR="0065582D" w:rsidRPr="00BA7301" w:rsidRDefault="0065582D" w:rsidP="00A20542">
            <w:pPr>
              <w:rPr>
                <w:b/>
                <w:szCs w:val="20"/>
              </w:rPr>
            </w:pPr>
          </w:p>
          <w:p w14:paraId="5ED9F61C" w14:textId="77777777" w:rsidR="00153458" w:rsidRPr="00BA7301" w:rsidRDefault="00153458" w:rsidP="00A20542">
            <w:pPr>
              <w:rPr>
                <w:b/>
                <w:sz w:val="16"/>
                <w:szCs w:val="16"/>
              </w:rPr>
            </w:pPr>
            <w:r w:rsidRPr="00BA7301">
              <w:rPr>
                <w:b/>
                <w:sz w:val="16"/>
              </w:rPr>
              <w:t>Euroopan alueiden komitea</w:t>
            </w:r>
          </w:p>
          <w:p w14:paraId="6AC37878" w14:textId="77777777" w:rsidR="0065582D" w:rsidRPr="00BA7301" w:rsidRDefault="0065582D" w:rsidP="0047627E">
            <w:pPr>
              <w:jc w:val="left"/>
              <w:rPr>
                <w:sz w:val="16"/>
                <w:szCs w:val="16"/>
              </w:rPr>
            </w:pPr>
          </w:p>
          <w:p w14:paraId="67F18DCD" w14:textId="18F42F97" w:rsidR="000001F7" w:rsidRPr="00BA7301" w:rsidRDefault="00153458" w:rsidP="0047627E">
            <w:pPr>
              <w:jc w:val="left"/>
            </w:pPr>
            <w:r w:rsidRPr="00BA7301">
              <w:rPr>
                <w:sz w:val="16"/>
              </w:rPr>
              <w:t xml:space="preserve">Euroopan alueiden komitea on EU:n alue- ja paikallisedustajien kokous, ja sen jäsenet edustavat EU:n kaikkia 28:aa jäsenvaltiota. Komitea perustettiin vuonna 1994 Maastrichtin sopimuksen nojalla, ja sen tehtävänä on tuoda alue- ja paikallisviranomaiset mukaan EU:n päätöksentekoprosessiin ja tiedottaa niille EU:n toimintalinjoista. Euroopan parlamentti, neuvosto ja Euroopan komissio kuulevat komiteaa politiikanaloista, jotka vaikuttavat alueisiin ja kuntiin. Euroopan alueiden komiteassa on 350 jäsentä ja 350 varajäsentä. Heillä kaikilla on joko vaaleissa saatu valtuutus tai he ovat poliittisesti vastuussa vaaleilla valitulle elimelle kotikunnassaan tai </w:t>
            </w:r>
            <w:r w:rsidRPr="00BA7301">
              <w:noBreakHyphen/>
            </w:r>
            <w:r w:rsidRPr="00BA7301">
              <w:rPr>
                <w:sz w:val="16"/>
              </w:rPr>
              <w:t xml:space="preserve">alueellaan. Lisätietoa maakohtaisista valtuuskunnista on saatavilla </w:t>
            </w:r>
            <w:hyperlink r:id="rId26">
              <w:r w:rsidRPr="00BA7301">
                <w:rPr>
                  <w:rStyle w:val="Hyperlink"/>
                  <w:sz w:val="16"/>
                </w:rPr>
                <w:t>täältä</w:t>
              </w:r>
            </w:hyperlink>
            <w:r w:rsidRPr="00BA7301">
              <w:t>.</w:t>
            </w:r>
          </w:p>
        </w:tc>
      </w:tr>
      <w:tr w:rsidR="0022540B" w:rsidRPr="00BA7301" w14:paraId="213EB06D" w14:textId="77777777" w:rsidTr="0053209E">
        <w:trPr>
          <w:jc w:val="center"/>
        </w:trPr>
        <w:tc>
          <w:tcPr>
            <w:tcW w:w="10498" w:type="dxa"/>
            <w:shd w:val="clear" w:color="auto" w:fill="2C438A"/>
            <w:tcMar>
              <w:top w:w="170" w:type="dxa"/>
              <w:left w:w="170" w:type="dxa"/>
              <w:bottom w:w="170" w:type="dxa"/>
              <w:right w:w="170" w:type="dxa"/>
            </w:tcMar>
          </w:tcPr>
          <w:p w14:paraId="17D21CCC" w14:textId="77777777" w:rsidR="002F3AB6" w:rsidRPr="00BA7301" w:rsidRDefault="002F3AB6" w:rsidP="00F34BC0">
            <w:pPr>
              <w:jc w:val="left"/>
              <w:rPr>
                <w:color w:val="FFFFFF" w:themeColor="background1"/>
                <w:sz w:val="16"/>
                <w:szCs w:val="16"/>
              </w:rPr>
            </w:pPr>
            <w:r w:rsidRPr="00BA7301">
              <w:rPr>
                <w:color w:val="FFFFFF" w:themeColor="background1"/>
                <w:sz w:val="16"/>
              </w:rPr>
              <w:t>Henkilötietojen käsittelyssä noudatetaan yksilöiden suojelusta EU:n toimielinten ja elinten suorittamassa henkilötietojen käsittelyssä annetun asetuksen (EY) N:o 45/2001 säännöksiä. Omiin henkilötietoihinsa voi tutustua pyynnöstä, virheelliset tai puutteelliset henkilötiedot voi oikaista, tai omat tietonsa voi pyytää poistamaan postituslistaltamme.</w:t>
            </w:r>
          </w:p>
          <w:p w14:paraId="72A76E5C" w14:textId="77777777" w:rsidR="0065582D" w:rsidRPr="00BA7301" w:rsidRDefault="0065582D" w:rsidP="00F34BC0">
            <w:pPr>
              <w:jc w:val="left"/>
              <w:rPr>
                <w:color w:val="FFFFFF" w:themeColor="background1"/>
                <w:sz w:val="16"/>
                <w:szCs w:val="16"/>
              </w:rPr>
            </w:pPr>
          </w:p>
          <w:p w14:paraId="1C41BEBA" w14:textId="7E879F13" w:rsidR="000001F7" w:rsidRPr="00BA7301" w:rsidRDefault="002F3AB6" w:rsidP="00F34BC0">
            <w:pPr>
              <w:jc w:val="left"/>
            </w:pPr>
            <w:r w:rsidRPr="00BA7301">
              <w:rPr>
                <w:color w:val="FFFFFF" w:themeColor="background1"/>
                <w:sz w:val="16"/>
              </w:rPr>
              <w:t>Kaikki henkilötietojen käsittelyä koskevat kysymykset tulee lähettää osoitteeseen</w:t>
            </w:r>
            <w:r w:rsidRPr="00BA7301">
              <w:t xml:space="preserve"> </w:t>
            </w:r>
            <w:hyperlink r:id="rId27">
              <w:r w:rsidRPr="00BA7301">
                <w:rPr>
                  <w:rStyle w:val="Hyperlink"/>
                  <w:sz w:val="16"/>
                </w:rPr>
                <w:t>PresseCdr@cor.europa.eu</w:t>
              </w:r>
            </w:hyperlink>
            <w:r w:rsidRPr="00BA7301">
              <w:rPr>
                <w:color w:val="FFFFFF" w:themeColor="background1"/>
                <w:sz w:val="16"/>
              </w:rPr>
              <w:t xml:space="preserve">. Lisäksi voi ottaa sähköpostitse yhteyttä </w:t>
            </w:r>
            <w:proofErr w:type="spellStart"/>
            <w:r w:rsidRPr="00BA7301">
              <w:rPr>
                <w:color w:val="FFFFFF" w:themeColor="background1"/>
                <w:sz w:val="16"/>
              </w:rPr>
              <w:t>AK:n</w:t>
            </w:r>
            <w:proofErr w:type="spellEnd"/>
            <w:r w:rsidRPr="00BA7301">
              <w:rPr>
                <w:color w:val="FFFFFF" w:themeColor="background1"/>
                <w:sz w:val="16"/>
              </w:rPr>
              <w:t xml:space="preserve"> tietosuojavastaavaan osoitteessa </w:t>
            </w:r>
            <w:hyperlink r:id="rId28">
              <w:r w:rsidRPr="00BA7301">
                <w:rPr>
                  <w:rStyle w:val="Hyperlink"/>
                  <w:sz w:val="16"/>
                </w:rPr>
                <w:t>data.protection@cor.europa.eu</w:t>
              </w:r>
            </w:hyperlink>
            <w:r w:rsidRPr="00BA7301">
              <w:rPr>
                <w:color w:val="FFFFFF" w:themeColor="background1"/>
                <w:sz w:val="16"/>
              </w:rPr>
              <w:t xml:space="preserve">. Omien henkilötietojensa käsittelyyn liittyvissä kysymyksissä voi lisäksi kääntyä milloin tahansa Euroopan tietosuojavaltuutetun puoleen osoitteessa </w:t>
            </w:r>
            <w:hyperlink r:id="rId29">
              <w:r w:rsidRPr="00BA7301">
                <w:rPr>
                  <w:rStyle w:val="Hyperlink"/>
                  <w:sz w:val="16"/>
                </w:rPr>
                <w:t>www.edps.europa.eu/EDPSWEB/</w:t>
              </w:r>
            </w:hyperlink>
            <w:r w:rsidRPr="00BA7301">
              <w:t>.</w:t>
            </w:r>
          </w:p>
        </w:tc>
      </w:tr>
    </w:tbl>
    <w:p w14:paraId="7D030AAE" w14:textId="77777777" w:rsidR="00D200A9" w:rsidRPr="00BA7301" w:rsidRDefault="00D200A9" w:rsidP="00A20542"/>
    <w:sectPr w:rsidR="00D200A9" w:rsidRPr="00BA7301"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6C4A" w14:textId="77777777" w:rsidR="00097847" w:rsidRDefault="00097847" w:rsidP="00A20542">
      <w:r>
        <w:separator/>
      </w:r>
    </w:p>
  </w:endnote>
  <w:endnote w:type="continuationSeparator" w:id="0">
    <w:p w14:paraId="21995A2B" w14:textId="77777777" w:rsidR="00097847" w:rsidRDefault="00097847"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BF79E" w14:textId="77777777" w:rsidR="00097847" w:rsidRDefault="00097847" w:rsidP="00A20542">
      <w:r>
        <w:separator/>
      </w:r>
    </w:p>
  </w:footnote>
  <w:footnote w:type="continuationSeparator" w:id="0">
    <w:p w14:paraId="0C461A41" w14:textId="77777777" w:rsidR="00097847" w:rsidRDefault="00097847" w:rsidP="00A2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77"/>
    <w:multiLevelType w:val="hybridMultilevel"/>
    <w:tmpl w:val="EB98D936"/>
    <w:lvl w:ilvl="0" w:tplc="CF4088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763138"/>
    <w:multiLevelType w:val="hybridMultilevel"/>
    <w:tmpl w:val="C51084FE"/>
    <w:lvl w:ilvl="0" w:tplc="CF4088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71701"/>
    <w:multiLevelType w:val="hybridMultilevel"/>
    <w:tmpl w:val="47C48708"/>
    <w:lvl w:ilvl="0" w:tplc="CF4088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4C"/>
    <w:rsid w:val="000001F7"/>
    <w:rsid w:val="00006D0B"/>
    <w:rsid w:val="00016A2B"/>
    <w:rsid w:val="000322E4"/>
    <w:rsid w:val="000407EF"/>
    <w:rsid w:val="000424AE"/>
    <w:rsid w:val="00082C9F"/>
    <w:rsid w:val="00097847"/>
    <w:rsid w:val="000D3D76"/>
    <w:rsid w:val="00112B08"/>
    <w:rsid w:val="001208DD"/>
    <w:rsid w:val="00127C4C"/>
    <w:rsid w:val="0013642C"/>
    <w:rsid w:val="00153458"/>
    <w:rsid w:val="00160323"/>
    <w:rsid w:val="00160D27"/>
    <w:rsid w:val="0016700C"/>
    <w:rsid w:val="00184890"/>
    <w:rsid w:val="001F1DB2"/>
    <w:rsid w:val="0022540B"/>
    <w:rsid w:val="00256905"/>
    <w:rsid w:val="00263387"/>
    <w:rsid w:val="00291D3C"/>
    <w:rsid w:val="00293F3B"/>
    <w:rsid w:val="00296C7D"/>
    <w:rsid w:val="002C3F6F"/>
    <w:rsid w:val="002F0AE2"/>
    <w:rsid w:val="002F3AB6"/>
    <w:rsid w:val="0030500D"/>
    <w:rsid w:val="00315767"/>
    <w:rsid w:val="003322BE"/>
    <w:rsid w:val="00341970"/>
    <w:rsid w:val="00357027"/>
    <w:rsid w:val="00363D54"/>
    <w:rsid w:val="00394D36"/>
    <w:rsid w:val="003955E0"/>
    <w:rsid w:val="00395908"/>
    <w:rsid w:val="003A3A94"/>
    <w:rsid w:val="003A78D0"/>
    <w:rsid w:val="00407EF8"/>
    <w:rsid w:val="00422252"/>
    <w:rsid w:val="00441FEC"/>
    <w:rsid w:val="0047627E"/>
    <w:rsid w:val="004B356F"/>
    <w:rsid w:val="004F0D6B"/>
    <w:rsid w:val="005209B9"/>
    <w:rsid w:val="00523E56"/>
    <w:rsid w:val="0053209E"/>
    <w:rsid w:val="00575173"/>
    <w:rsid w:val="005E77A5"/>
    <w:rsid w:val="00603986"/>
    <w:rsid w:val="00642273"/>
    <w:rsid w:val="0065582D"/>
    <w:rsid w:val="00671F02"/>
    <w:rsid w:val="00692D0E"/>
    <w:rsid w:val="006E0D94"/>
    <w:rsid w:val="006E3ACF"/>
    <w:rsid w:val="006F3336"/>
    <w:rsid w:val="007043F2"/>
    <w:rsid w:val="00717E9D"/>
    <w:rsid w:val="00730560"/>
    <w:rsid w:val="00733684"/>
    <w:rsid w:val="007432E5"/>
    <w:rsid w:val="00754E5B"/>
    <w:rsid w:val="00755458"/>
    <w:rsid w:val="0075575F"/>
    <w:rsid w:val="007A3D1A"/>
    <w:rsid w:val="007F3B7D"/>
    <w:rsid w:val="00831AA8"/>
    <w:rsid w:val="008431A9"/>
    <w:rsid w:val="0084521B"/>
    <w:rsid w:val="00860B25"/>
    <w:rsid w:val="0087539B"/>
    <w:rsid w:val="00881D72"/>
    <w:rsid w:val="008838D3"/>
    <w:rsid w:val="008A7587"/>
    <w:rsid w:val="008C26BE"/>
    <w:rsid w:val="008D768E"/>
    <w:rsid w:val="008E0A05"/>
    <w:rsid w:val="008E4207"/>
    <w:rsid w:val="008E48C6"/>
    <w:rsid w:val="008E5C61"/>
    <w:rsid w:val="008F4390"/>
    <w:rsid w:val="00902438"/>
    <w:rsid w:val="009037C0"/>
    <w:rsid w:val="009172AA"/>
    <w:rsid w:val="00932C4E"/>
    <w:rsid w:val="00976664"/>
    <w:rsid w:val="009A1D39"/>
    <w:rsid w:val="009B2494"/>
    <w:rsid w:val="009B4FF1"/>
    <w:rsid w:val="009B5683"/>
    <w:rsid w:val="00A20542"/>
    <w:rsid w:val="00A27C88"/>
    <w:rsid w:val="00A31034"/>
    <w:rsid w:val="00A607E1"/>
    <w:rsid w:val="00A6126C"/>
    <w:rsid w:val="00A779AB"/>
    <w:rsid w:val="00A84C25"/>
    <w:rsid w:val="00AD07B8"/>
    <w:rsid w:val="00AE6F8C"/>
    <w:rsid w:val="00B0444D"/>
    <w:rsid w:val="00B27ED1"/>
    <w:rsid w:val="00B30D4C"/>
    <w:rsid w:val="00B5338E"/>
    <w:rsid w:val="00B77E7F"/>
    <w:rsid w:val="00BA7301"/>
    <w:rsid w:val="00BB03B9"/>
    <w:rsid w:val="00BB0D77"/>
    <w:rsid w:val="00BB4DCB"/>
    <w:rsid w:val="00BC0007"/>
    <w:rsid w:val="00BC1C03"/>
    <w:rsid w:val="00BD4FC1"/>
    <w:rsid w:val="00BD6E63"/>
    <w:rsid w:val="00C028AD"/>
    <w:rsid w:val="00C068ED"/>
    <w:rsid w:val="00C16E7E"/>
    <w:rsid w:val="00C253E5"/>
    <w:rsid w:val="00C336D4"/>
    <w:rsid w:val="00C61BA3"/>
    <w:rsid w:val="00C66300"/>
    <w:rsid w:val="00C71FAD"/>
    <w:rsid w:val="00C7437C"/>
    <w:rsid w:val="00C86C78"/>
    <w:rsid w:val="00C94C47"/>
    <w:rsid w:val="00CB4879"/>
    <w:rsid w:val="00CE6F4B"/>
    <w:rsid w:val="00CF01F1"/>
    <w:rsid w:val="00CF789F"/>
    <w:rsid w:val="00D200A9"/>
    <w:rsid w:val="00D53777"/>
    <w:rsid w:val="00D658A3"/>
    <w:rsid w:val="00D84348"/>
    <w:rsid w:val="00E00B37"/>
    <w:rsid w:val="00E019AF"/>
    <w:rsid w:val="00E130E7"/>
    <w:rsid w:val="00E156F3"/>
    <w:rsid w:val="00E62B2F"/>
    <w:rsid w:val="00E66E1B"/>
    <w:rsid w:val="00E92BF7"/>
    <w:rsid w:val="00E96FB2"/>
    <w:rsid w:val="00EA634F"/>
    <w:rsid w:val="00EA6BB5"/>
    <w:rsid w:val="00EB1A46"/>
    <w:rsid w:val="00EC02B4"/>
    <w:rsid w:val="00EC18F0"/>
    <w:rsid w:val="00EC77A3"/>
    <w:rsid w:val="00ED5F1B"/>
    <w:rsid w:val="00ED7086"/>
    <w:rsid w:val="00F00E2C"/>
    <w:rsid w:val="00F01253"/>
    <w:rsid w:val="00F215A2"/>
    <w:rsid w:val="00F34BC0"/>
    <w:rsid w:val="00F46A6C"/>
    <w:rsid w:val="00F75EB2"/>
    <w:rsid w:val="00FE00BF"/>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4D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fi-FI" w:bidi="fi-FI"/>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53209E"/>
    <w:pPr>
      <w:ind w:left="720"/>
      <w:contextualSpacing/>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fi-FI" w:bidi="fi-FI"/>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53209E"/>
    <w:pPr>
      <w:ind w:left="720"/>
      <w:contextualSpacing/>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facebook.com/European.Committee.of.the.Regions/" TargetMode="External"/><Relationship Id="rId26" Type="http://schemas.openxmlformats.org/officeDocument/2006/relationships/hyperlink" Target="http://cor.europa.eu/fi/regions/pages/europe-in-my-region.aspx"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twitter.com/EU_CoR" TargetMode="External"/><Relationship Id="rId20" Type="http://schemas.openxmlformats.org/officeDocument/2006/relationships/hyperlink" Target="https://www.linkedin.com/company/european-committee-of-the-regions/" TargetMode="External"/><Relationship Id="rId29" Type="http://schemas.openxmlformats.org/officeDocument/2006/relationships/hyperlink" Target="http://www.edps.europa.eu/EDPSWE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flickr.com/photos/cor-photos/set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mailto:data.protection@cor.europa.eu" TargetMode="Externa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europa.eu/" TargetMode="External"/><Relationship Id="rId22" Type="http://schemas.openxmlformats.org/officeDocument/2006/relationships/hyperlink" Target="https://www.youtube.com/user/pressecdr" TargetMode="External"/><Relationship Id="rId27" Type="http://schemas.openxmlformats.org/officeDocument/2006/relationships/hyperlink" Target="mailto:PresseCdr@cor.europa.e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CORWEB-1152048242-31</_dlc_DocId>
    <_dlc_DocIdUrl xmlns="61ca3f1a-19f4-461d-a43b-0b5ad97b08be">
      <Url>https://prod-portal.cor.europa.eu/en/news/_layouts/15/DocIdRedir.aspx?ID=CORWEB-1152048242-31</Url>
      <Description>CORWEB-1152048242-31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71F4472F2E117D4B967754D4AF8B1741" ma:contentTypeVersion="4" ma:contentTypeDescription="Create a new document." ma:contentTypeScope="" ma:versionID="3a0c17379e7f4824783a44753cb350f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1b80ba028f11d744128e17c14b29bebe"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1872E-E324-4D46-9BD2-13DA1AC28BF2}"/>
</file>

<file path=customXml/itemProps2.xml><?xml version="1.0" encoding="utf-8"?>
<ds:datastoreItem xmlns:ds="http://schemas.openxmlformats.org/officeDocument/2006/customXml" ds:itemID="{3BFD6FDD-9160-4119-BB79-84855349D2E3}"/>
</file>

<file path=customXml/itemProps3.xml><?xml version="1.0" encoding="utf-8"?>
<ds:datastoreItem xmlns:ds="http://schemas.openxmlformats.org/officeDocument/2006/customXml" ds:itemID="{2C1B348D-152C-4AEC-8699-451C0859805D}"/>
</file>

<file path=customXml/itemProps4.xml><?xml version="1.0" encoding="utf-8"?>
<ds:datastoreItem xmlns:ds="http://schemas.openxmlformats.org/officeDocument/2006/customXml" ds:itemID="{0760D719-1172-4699-9474-CD2C543A409A}"/>
</file>

<file path=customXml/itemProps5.xml><?xml version="1.0" encoding="utf-8"?>
<ds:datastoreItem xmlns:ds="http://schemas.openxmlformats.org/officeDocument/2006/customXml" ds:itemID="{89B7BE1F-4399-44CD-B13B-EA861A47B0B5}"/>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AK:n lehdistötiedotemalli, uusi versio</vt:lpstr>
    </vt:vector>
  </TitlesOfParts>
  <Company>CESE-CdR</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AK:n lehdistötiedotemalli, uusi versio</dc:title>
  <dc:subject>Hallinnollinen asiakirja</dc:subject>
  <dc:creator>Pierluigi Boda</dc:creator>
  <cp:keywords>COR-EESC-2016-06462-01-00-ADMIN-TRA-FI</cp:keywords>
  <dc:description>Esittelijä: -_x000d_
Alkukieli: EN_x000d_
Asiakirjan päivämäärä: 19/01/2017_x000d_
Kokouksen päivämäärä: _x000d_
Muut asiakirjat: -_x000d_
Vastaava virkamies: Vocasek Tomas, puhelin: + 2 546 8191_x000d_
_x000d_
Tiivistelmä:</dc:description>
  <cp:lastModifiedBy>Lauri Ouvinen</cp:lastModifiedBy>
  <cp:revision>2</cp:revision>
  <cp:lastPrinted>2017-01-17T15:28:00Z</cp:lastPrinted>
  <dcterms:created xsi:type="dcterms:W3CDTF">2018-12-07T09:22:00Z</dcterms:created>
  <dcterms:modified xsi:type="dcterms:W3CDTF">2018-12-07T09:22:00Z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0x01010071F4472F2E117D4B967754D4AF8B1741</vt:lpwstr>
  </property>
  <property fmtid="{D5CDD505-2E9C-101B-9397-08002B2CF9AE}" pid="3" name="_dlc_DocIdItemGuid">
    <vt:lpwstr>f77aa374-d99d-48f0-b64b-cacc9977a2b0</vt:lpwstr>
  </property>
  <property fmtid="{D5CDD505-2E9C-101B-9397-08002B2CF9AE}" pid="4" name="DocumentType_0">
    <vt:lpwstr>ADMIN|58d8ac89-e690-41f6-a5e8-508fa4a7c73c</vt:lpwstr>
  </property>
  <property fmtid="{D5CDD505-2E9C-101B-9397-08002B2CF9AE}" pid="5" name="AvailableTranslations">
    <vt:lpwstr>15;#HR|2f555653-ed1a-4fe6-8362-9082d95989e5;#29;#FI|87606a43-d45f-42d6-b8c9-e1a3457db5b7;#24;#ET|ff6c3f4c-b02c-4c3c-ab07-2c37995a7a0a;#22;#RO|feb747a2-64cd-4299-af12-4833ddc30497;#4;#EN|f2175f21-25d7-44a3-96da-d6a61b075e1b;#21;#MT|7df99101-6854-4a26-b53a-</vt:lpwstr>
  </property>
  <property fmtid="{D5CDD505-2E9C-101B-9397-08002B2CF9AE}" pid="6" name="DocumentSource_0">
    <vt:lpwstr>CoR-EESC|57051100-cb02-4545-a641-08c68e9b1656</vt:lpwstr>
  </property>
  <property fmtid="{D5CDD505-2E9C-101B-9397-08002B2CF9AE}" pid="7" name="ProductionDate">
    <vt:filetime>2016-12-01T12:00:00Z</vt:filetime>
  </property>
  <property fmtid="{D5CDD505-2E9C-101B-9397-08002B2CF9AE}" pid="8" name="DocumentNumber">
    <vt:i4>6462</vt:i4>
  </property>
  <property fmtid="{D5CDD505-2E9C-101B-9397-08002B2CF9AE}" pid="9" name="FicheYear">
    <vt:i4>2017</vt:i4>
  </property>
  <property fmtid="{D5CDD505-2E9C-101B-9397-08002B2CF9AE}" pid="10" name="DocumentVersion">
    <vt:i4>0</vt:i4>
  </property>
  <property fmtid="{D5CDD505-2E9C-101B-9397-08002B2CF9AE}" pid="11" name="DocumentStatus">
    <vt:lpwstr>7;#TRA|150d2a88-1431-44e6-a8ca-0bb753ab8672</vt:lpwstr>
  </property>
  <property fmtid="{D5CDD505-2E9C-101B-9397-08002B2CF9AE}" pid="12" name="DossierName">
    <vt:lpwstr/>
  </property>
  <property fmtid="{D5CDD505-2E9C-101B-9397-08002B2CF9AE}" pid="13" name="Confidentiality">
    <vt:lpwstr>5;#Unrestricted|826e22d7-d029-4ec0-a450-0c28ff673572</vt:lpwstr>
  </property>
  <property fmtid="{D5CDD505-2E9C-101B-9397-08002B2CF9AE}" pid="14" name="Confidentiality_0">
    <vt:lpwstr>Unrestricted|826e22d7-d029-4ec0-a450-0c28ff673572</vt:lpwstr>
  </property>
  <property fmtid="{D5CDD505-2E9C-101B-9397-08002B2CF9AE}" pid="15" name="Pref_User">
    <vt:lpwstr>tvoc</vt:lpwstr>
  </property>
  <property fmtid="{D5CDD505-2E9C-101B-9397-08002B2CF9AE}" pid="16" name="Pref_FileName">
    <vt:lpwstr>COR-2016-06462-00-00-WEB-ORI.docx</vt:lpwstr>
  </property>
  <property fmtid="{D5CDD505-2E9C-101B-9397-08002B2CF9AE}" pid="17" name="OriginalLanguage">
    <vt:lpwstr>4;#EN|f2175f21-25d7-44a3-96da-d6a61b075e1b</vt:lpwstr>
  </property>
  <property fmtid="{D5CDD505-2E9C-101B-9397-08002B2CF9AE}" pid="18" name="MeetingName">
    <vt:lpwstr/>
  </property>
  <property fmtid="{D5CDD505-2E9C-101B-9397-08002B2CF9AE}" pid="19" name="TaxCatchAll">
    <vt:lpwstr>20;#IT|0774613c-01ed-4e5d-a25d-11d2388de825;#16;#HU|6b229040-c589-4408-b4c1-4285663d20a8;#15;#HR|2f555653-ed1a-4fe6-8362-9082d95989e5;#13;#NL|55c6556c-b4f4-441d-9acf-c498d4f838bd;#11;#ES|e7a6b05b-ae16-40c8-add9-68b64b03aeba;#10;#DA|5d49c027-8956-412b-aa16</vt:lpwstr>
  </property>
  <property fmtid="{D5CDD505-2E9C-101B-9397-08002B2CF9AE}" pid="20" name="DocumentLanguage_0">
    <vt:lpwstr>EN|f2175f21-25d7-44a3-96da-d6a61b075e1b</vt:lpwstr>
  </property>
  <property fmtid="{D5CDD505-2E9C-101B-9397-08002B2CF9AE}" pid="21" name="Pref_Date">
    <vt:lpwstr>01/12/2016</vt:lpwstr>
  </property>
  <property fmtid="{D5CDD505-2E9C-101B-9397-08002B2CF9AE}" pid="22" name="VersionStatus">
    <vt:lpwstr>6;#Final|ea5e6674-7b27-4bac-b091-73adbb394efe</vt:lpwstr>
  </property>
  <property fmtid="{D5CDD505-2E9C-101B-9397-08002B2CF9AE}" pid="23" name="VersionStatus_0">
    <vt:lpwstr>Final|ea5e6674-7b27-4bac-b091-73adbb394efe</vt:lpwstr>
  </property>
  <property fmtid="{D5CDD505-2E9C-101B-9397-08002B2CF9AE}" pid="24" name="FicheNumber">
    <vt:i4>642</vt:i4>
  </property>
  <property fmtid="{D5CDD505-2E9C-101B-9397-08002B2CF9AE}" pid="25" name="DocumentYear">
    <vt:i4>2016</vt:i4>
  </property>
  <property fmtid="{D5CDD505-2E9C-101B-9397-08002B2CF9AE}" pid="26" name="DocumentSource">
    <vt:lpwstr>1;#CoR-EESC|57051100-cb02-4545-a641-08c68e9b1656</vt:lpwstr>
  </property>
  <property fmtid="{D5CDD505-2E9C-101B-9397-08002B2CF9AE}" pid="27" name="DocumentType">
    <vt:lpwstr>3;#ADMIN|58d8ac89-e690-41f6-a5e8-508fa4a7c73c</vt:lpwstr>
  </property>
  <property fmtid="{D5CDD505-2E9C-101B-9397-08002B2CF9AE}" pid="28" name="DocumentPart">
    <vt:i4>1</vt:i4>
  </property>
  <property fmtid="{D5CDD505-2E9C-101B-9397-08002B2CF9AE}" pid="29" name="StyleCheckSum">
    <vt:lpwstr>44378_C1706_P34_L0</vt:lpwstr>
  </property>
  <property fmtid="{D5CDD505-2E9C-101B-9397-08002B2CF9AE}" pid="30" name="Pref_formatted">
    <vt:bool>true</vt:bool>
  </property>
  <property fmtid="{D5CDD505-2E9C-101B-9397-08002B2CF9AE}" pid="31" name="Pref_Time">
    <vt:lpwstr>15:32:58</vt:lpwstr>
  </property>
  <property fmtid="{D5CDD505-2E9C-101B-9397-08002B2CF9AE}" pid="32" name="RequestingService">
    <vt:lpwstr>Helpdesk traduction</vt:lpwstr>
  </property>
  <property fmtid="{D5CDD505-2E9C-101B-9397-08002B2CF9AE}" pid="33" name="DocumentLanguage">
    <vt:lpwstr>29;#FI|87606a43-d45f-42d6-b8c9-e1a3457db5b7</vt:lpwstr>
  </property>
  <property fmtid="{D5CDD505-2E9C-101B-9397-08002B2CF9AE}" pid="34" name="DocumentStatus_0">
    <vt:lpwstr>TRA|150d2a88-1431-44e6-a8ca-0bb753ab8672</vt:lpwstr>
  </property>
  <property fmtid="{D5CDD505-2E9C-101B-9397-08002B2CF9AE}" pid="35" name="OriginalLanguage_0">
    <vt:lpwstr>EN|f2175f21-25d7-44a3-96da-d6a61b075e1b</vt:lpwstr>
  </property>
  <property fmtid="{D5CDD505-2E9C-101B-9397-08002B2CF9AE}" pid="36" name="AvailableTranslations_0">
    <vt:lpwstr>HR|2f555653-ed1a-4fe6-8362-9082d95989e5;EN|f2175f21-25d7-44a3-96da-d6a61b075e1b;NL|55c6556c-b4f4-441d-9acf-c498d4f838bd;DA|5d49c027-8956-412b-aa16-e85a0f96ad0e;CS|72f9705b-0217-4fd3-bea2-cbc7ed80e26e;HU|6b229040-c589-4408-b4c1-4285663d20a8;PT|50ccc04a-ead</vt:lpwstr>
  </property>
  <property fmtid="{D5CDD505-2E9C-101B-9397-08002B2CF9AE}" pid="37" name="DossierName_0">
    <vt:lpwstr/>
  </property>
  <property fmtid="{D5CDD505-2E9C-101B-9397-08002B2CF9AE}" pid="38" name="MeetingName_0">
    <vt:lpwstr/>
  </property>
</Properties>
</file>