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44"/>
        <w:gridCol w:w="4712"/>
      </w:tblGrid>
      <w:tr w:rsidRPr="00EE2DA8" w:rsidR="003D7161" w:rsidTr="007953DA" w14:paraId="6ECDBE0A" w14:textId="77777777">
        <w:trPr>
          <w:cantSplit/>
        </w:trPr>
        <w:tc>
          <w:tcPr>
            <w:tcW w:w="4644" w:type="dxa"/>
            <w:vAlign w:val="center"/>
          </w:tcPr>
          <w:p w:rsidRPr="00EE2DA8" w:rsidR="002C7F54" w:rsidP="00402160" w:rsidRDefault="00EE2DA8" w14:paraId="5896E392" w14:textId="30E66654">
            <w:pPr>
              <w:rPr>
                <w:lang w:val="en-GB"/>
              </w:rPr>
            </w:pPr>
            <w:bookmarkStart w:name="_GoBack" w:id="0"/>
            <w:bookmarkEnd w:id="0"/>
            <w:r w:rsidRPr="00EE2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editId="11F076F1" wp14:anchorId="152849CC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300C8C" w:rsidR="00881372" w:rsidP="002C7F54" w:rsidRDefault="00881372" w14:paraId="6D3120AB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 w:rsidRPr="00300C8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52849CC">
                      <v:stroke joinstyle="miter"/>
                      <v:path gradientshapeok="t" o:connecttype="rect"/>
                    </v:shapetype>
                    <v:shape id="Text Box 3" style="position:absolute;left:0;text-align:left;margin-left:532.9pt;margin-top:793.7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eQ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uja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C0IreQtQIA&#10;ALgFAAAOAAAAAAAAAAAAAAAAAC4CAABkcnMvZTJvRG9jLnhtbFBLAQItABQABgAIAAAAIQCBA6l8&#10;4QAAAA8BAAAPAAAAAAAAAAAAAAAAAA8FAABkcnMvZG93bnJldi54bWxQSwUGAAAAAAQABADzAAAA&#10;HQYAAAAA&#10;">
                      <v:textbox>
                        <w:txbxContent>
                          <w:p w:rsidRPr="00300C8C" w:rsidR="00881372" w:rsidP="002C7F54" w:rsidRDefault="00881372" w14:paraId="6D3120AB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300C8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E2DA8" w:rsidR="00042841">
              <w:rPr>
                <w:rFonts w:eastAsia="Arial Unicode MS"/>
                <w:noProof/>
              </w:rPr>
              <w:drawing>
                <wp:inline distT="0" distB="0" distL="0" distR="0" wp14:anchorId="678BD765" wp14:editId="7AD33F17">
                  <wp:extent cx="1797050" cy="1550670"/>
                  <wp:effectExtent l="0" t="0" r="0" b="0"/>
                  <wp:docPr id="4" name="Picture 4" descr="C:\Users\mreg\Music\New LOGO\Logo\logo_CoR-vertical-positive-en-quadri_MR.jpg" title="CoRLogo_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reg\Music\New LOGO\Logo\logo_CoR-vertical-positive-en-quadri_MR.jpg" title="CoRLogo_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Pr="00EE2DA8" w:rsidR="002C7F54" w:rsidP="00402160" w:rsidRDefault="002C7F54" w14:paraId="2FA52D75" w14:textId="77777777">
            <w:pPr>
              <w:jc w:val="left"/>
              <w:rPr>
                <w:lang w:val="en-GB"/>
              </w:rPr>
            </w:pPr>
          </w:p>
        </w:tc>
      </w:tr>
      <w:tr w:rsidRPr="00EE2DA8" w:rsidR="003D7161" w:rsidTr="007953DA" w14:paraId="393B812F" w14:textId="77777777">
        <w:trPr>
          <w:cantSplit/>
        </w:trPr>
        <w:tc>
          <w:tcPr>
            <w:tcW w:w="9356" w:type="dxa"/>
            <w:gridSpan w:val="2"/>
          </w:tcPr>
          <w:p w:rsidRPr="00EE2DA8" w:rsidR="008C2D59" w:rsidP="00402160" w:rsidRDefault="008C2D59" w14:paraId="66006BFC" w14:textId="264909B9">
            <w:pPr>
              <w:jc w:val="right"/>
              <w:rPr>
                <w:b/>
                <w:bCs/>
                <w:sz w:val="28"/>
                <w:szCs w:val="28"/>
                <w:lang w:val="en-GB"/>
              </w:rPr>
            </w:pPr>
            <w:r w:rsidRPr="00EE2DA8">
              <w:rPr>
                <w:b/>
                <w:bCs/>
                <w:sz w:val="28"/>
                <w:szCs w:val="28"/>
                <w:lang w:val="en-GB"/>
              </w:rPr>
              <w:t>RESOL-VII</w:t>
            </w:r>
            <w:r w:rsidRPr="00EE2DA8" w:rsidR="00886903">
              <w:rPr>
                <w:b/>
                <w:bCs/>
                <w:sz w:val="28"/>
                <w:szCs w:val="28"/>
                <w:lang w:val="en-GB"/>
              </w:rPr>
              <w:t>/13</w:t>
            </w:r>
          </w:p>
        </w:tc>
      </w:tr>
      <w:tr w:rsidRPr="00EE2DA8" w:rsidR="00F008C2" w:rsidTr="007953DA" w14:paraId="47BDA5CA" w14:textId="77777777">
        <w:trPr>
          <w:cantSplit/>
        </w:trPr>
        <w:tc>
          <w:tcPr>
            <w:tcW w:w="9356" w:type="dxa"/>
            <w:gridSpan w:val="2"/>
          </w:tcPr>
          <w:p w:rsidRPr="00EE2DA8" w:rsidR="00F008C2" w:rsidP="00F008C2" w:rsidRDefault="00F008C2" w14:paraId="380F8DBF" w14:textId="3B987F4B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EE2DA8">
              <w:rPr>
                <w:b/>
                <w:sz w:val="28"/>
                <w:szCs w:val="28"/>
                <w:lang w:val="en-GB"/>
              </w:rPr>
              <w:t>145th plenary session, 30 June - 1 July 2021</w:t>
            </w:r>
          </w:p>
        </w:tc>
      </w:tr>
    </w:tbl>
    <w:p w:rsidRPr="00EE2DA8" w:rsidR="002C7F54" w:rsidP="00A574FF" w:rsidRDefault="002C7F54" w14:paraId="7ED5C69A" w14:textId="17FBC5F7">
      <w:pPr>
        <w:rPr>
          <w:lang w:val="en-GB"/>
        </w:rPr>
      </w:pPr>
    </w:p>
    <w:p w:rsidRPr="00EE2DA8" w:rsidR="00886903" w:rsidP="00402160" w:rsidRDefault="00886903" w14:paraId="4CD330D5" w14:textId="77777777">
      <w:pPr>
        <w:rPr>
          <w:lang w:val="en-GB"/>
        </w:rPr>
      </w:pPr>
    </w:p>
    <w:p w:rsidRPr="00EE2DA8" w:rsidR="002C7F54" w:rsidP="00402160" w:rsidRDefault="00103FA9" w14:paraId="6A310E82" w14:textId="6F98093C">
      <w:pPr>
        <w:jc w:val="center"/>
        <w:rPr>
          <w:sz w:val="28"/>
          <w:szCs w:val="28"/>
          <w:lang w:val="en-GB"/>
        </w:rPr>
      </w:pPr>
      <w:r w:rsidRPr="00EE2DA8">
        <w:rPr>
          <w:b/>
          <w:bCs/>
          <w:sz w:val="28"/>
          <w:szCs w:val="28"/>
          <w:lang w:val="en-GB"/>
        </w:rPr>
        <w:t xml:space="preserve">DRAFT </w:t>
      </w:r>
      <w:r w:rsidRPr="00EE2DA8" w:rsidR="002C7F54">
        <w:rPr>
          <w:b/>
          <w:bCs/>
          <w:sz w:val="28"/>
          <w:szCs w:val="28"/>
          <w:lang w:val="en-GB"/>
        </w:rPr>
        <w:t>RESOLUTION</w:t>
      </w:r>
      <w:r w:rsidRPr="00EE2DA8" w:rsidR="00DF4F89">
        <w:rPr>
          <w:b/>
          <w:bCs/>
          <w:sz w:val="28"/>
          <w:lang w:val="en-GB"/>
        </w:rPr>
        <w:br/>
      </w:r>
      <w:r w:rsidRPr="00EE2DA8" w:rsidR="00DF4F89">
        <w:rPr>
          <w:b/>
          <w:bCs/>
          <w:sz w:val="28"/>
          <w:lang w:val="en-GB"/>
        </w:rPr>
        <w:br/>
      </w:r>
      <w:r w:rsidRPr="00EE2DA8" w:rsidR="002C7F54">
        <w:rPr>
          <w:b/>
          <w:bCs/>
          <w:sz w:val="28"/>
          <w:szCs w:val="28"/>
          <w:lang w:val="en-GB"/>
        </w:rPr>
        <w:t>on the European Committee of the Regions' proposals in view of the European Commission Work Programme for 202</w:t>
      </w:r>
      <w:r w:rsidRPr="00EE2DA8" w:rsidR="00AC0140">
        <w:rPr>
          <w:b/>
          <w:bCs/>
          <w:sz w:val="28"/>
          <w:szCs w:val="28"/>
          <w:lang w:val="en-GB"/>
        </w:rPr>
        <w:t>2</w:t>
      </w:r>
    </w:p>
    <w:p w:rsidRPr="00EE2DA8" w:rsidR="002C7F54" w:rsidP="00402160" w:rsidRDefault="002C7F54" w14:paraId="77068822" w14:textId="26BACCD3">
      <w:pPr>
        <w:jc w:val="left"/>
        <w:rPr>
          <w:lang w:val="en-GB"/>
        </w:rPr>
      </w:pPr>
    </w:p>
    <w:p w:rsidRPr="00EE2DA8" w:rsidR="00DA2D94" w:rsidP="00402160" w:rsidRDefault="00DA2D94" w14:paraId="67507099" w14:textId="13FC9565">
      <w:pPr>
        <w:jc w:val="left"/>
        <w:rPr>
          <w:lang w:val="en-GB"/>
        </w:rPr>
      </w:pPr>
    </w:p>
    <w:p w:rsidRPr="00EE2DA8" w:rsidR="00DA2D94" w:rsidP="00402160" w:rsidRDefault="00DA2D94" w14:paraId="5BFC082D" w14:textId="6ED280EF">
      <w:pPr>
        <w:jc w:val="left"/>
        <w:rPr>
          <w:lang w:val="en-GB"/>
        </w:rPr>
      </w:pPr>
    </w:p>
    <w:p w:rsidRPr="00EE2DA8" w:rsidR="00DA2D94" w:rsidP="00402160" w:rsidRDefault="00DA2D94" w14:paraId="1CA941D2" w14:textId="77777777">
      <w:pPr>
        <w:jc w:val="left"/>
        <w:rPr>
          <w:lang w:val="en-GB"/>
        </w:rPr>
      </w:pPr>
    </w:p>
    <w:p w:rsidRPr="00EE2DA8" w:rsidR="00886903" w:rsidP="00886903" w:rsidRDefault="00886903" w14:paraId="2555138E" w14:textId="256ECA0C">
      <w:pPr>
        <w:jc w:val="left"/>
        <w:rPr>
          <w:lang w:val="en-GB"/>
        </w:rPr>
      </w:pPr>
      <w:r w:rsidRPr="00EE2DA8">
        <w:rPr>
          <w:b/>
          <w:lang w:val="en-GB"/>
        </w:rPr>
        <w:t>Submitted by the Political Groups EPP, PES, Renew Europe, EA and Greens</w:t>
      </w:r>
    </w:p>
    <w:p w:rsidRPr="00EE2DA8" w:rsidR="00886903" w:rsidP="00886903" w:rsidRDefault="00886903" w14:paraId="4BDBF039" w14:textId="77777777">
      <w:pPr>
        <w:jc w:val="left"/>
        <w:rPr>
          <w:lang w:val="en-GB"/>
        </w:rPr>
      </w:pPr>
    </w:p>
    <w:p w:rsidRPr="00EE2DA8" w:rsidR="00886903" w:rsidP="00886903" w:rsidRDefault="00886903" w14:paraId="4F9B990B" w14:textId="77777777">
      <w:pPr>
        <w:jc w:val="left"/>
        <w:rPr>
          <w:lang w:val="en-GB"/>
        </w:rPr>
      </w:pPr>
    </w:p>
    <w:p w:rsidRPr="00EE2DA8" w:rsidR="00886903" w:rsidP="00886903" w:rsidRDefault="00886903" w14:paraId="1F4B08C6" w14:textId="77777777">
      <w:pPr>
        <w:jc w:val="left"/>
        <w:rPr>
          <w:lang w:val="en-GB"/>
        </w:rPr>
      </w:pPr>
    </w:p>
    <w:p w:rsidRPr="00EE2DA8" w:rsidR="00886903" w:rsidP="00886903" w:rsidRDefault="00886903" w14:paraId="704F532F" w14:textId="77777777">
      <w:pPr>
        <w:jc w:val="left"/>
        <w:rPr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89"/>
      </w:tblGrid>
      <w:tr w:rsidRPr="00EE2DA8" w:rsidR="00886903" w:rsidTr="00371C2A" w14:paraId="1EF0CF3C" w14:textId="77777777">
        <w:tc>
          <w:tcPr>
            <w:tcW w:w="9289" w:type="dxa"/>
            <w:tcBorders>
              <w:top w:val="single" w:color="auto" w:sz="4" w:space="0"/>
              <w:bottom w:val="single" w:color="auto" w:sz="4" w:space="0"/>
            </w:tcBorders>
          </w:tcPr>
          <w:p w:rsidRPr="00EE2DA8" w:rsidR="00886903" w:rsidP="00371C2A" w:rsidRDefault="00886903" w14:paraId="2E371847" w14:textId="3BE096DA">
            <w:pPr>
              <w:jc w:val="left"/>
              <w:rPr>
                <w:lang w:val="en-GB"/>
              </w:rPr>
            </w:pPr>
            <w:r w:rsidRPr="00EE2DA8">
              <w:rPr>
                <w:b/>
                <w:color w:val="000000"/>
                <w:u w:val="single"/>
                <w:lang w:val="en-GB"/>
              </w:rPr>
              <w:t>Deadline for tabling amendments: 23 June 2021</w:t>
            </w:r>
            <w:r w:rsidRPr="00EE2DA8" w:rsidR="00D35E01">
              <w:rPr>
                <w:b/>
                <w:color w:val="000000"/>
                <w:u w:val="single"/>
                <w:lang w:val="en-GB"/>
              </w:rPr>
              <w:t>,</w:t>
            </w:r>
            <w:r w:rsidRPr="00EE2DA8">
              <w:rPr>
                <w:b/>
                <w:color w:val="000000"/>
                <w:u w:val="single"/>
                <w:lang w:val="en-GB"/>
              </w:rPr>
              <w:t xml:space="preserve"> no later than 3 p.m. (Brussels time)</w:t>
            </w:r>
          </w:p>
          <w:p w:rsidRPr="00EE2DA8" w:rsidR="00886903" w:rsidP="00371C2A" w:rsidRDefault="00886903" w14:paraId="12AB2C58" w14:textId="77777777">
            <w:pPr>
              <w:jc w:val="left"/>
              <w:rPr>
                <w:lang w:val="en-GB"/>
              </w:rPr>
            </w:pPr>
          </w:p>
          <w:p w:rsidRPr="00EE2DA8" w:rsidR="00886903" w:rsidP="00371C2A" w:rsidRDefault="00886903" w14:paraId="4BD0E98F" w14:textId="77777777">
            <w:pPr>
              <w:rPr>
                <w:b/>
                <w:lang w:val="en-GB"/>
              </w:rPr>
            </w:pPr>
            <w:bookmarkStart w:name="_Hlt311719160" w:id="1"/>
            <w:bookmarkStart w:name="_Hlt311719161" w:id="2"/>
            <w:r w:rsidRPr="00EE2DA8">
              <w:rPr>
                <w:b/>
                <w:lang w:val="en-GB"/>
              </w:rPr>
              <w:t xml:space="preserve">Amendments to the resolution are to be submitted, preferably in English, French or German, through the online tool for tabling amendments (available on the Members' Portal: </w:t>
            </w:r>
            <w:hyperlink w:history="1" r:id="rId12">
              <w:r w:rsidRPr="00A574FF">
                <w:rPr>
                  <w:rStyle w:val="Hyperlink"/>
                  <w:rFonts w:eastAsiaTheme="majorEastAsia"/>
                  <w:b/>
                  <w:lang w:val="en-GB"/>
                </w:rPr>
                <w:t>https://memportal.cor.europa.eu/</w:t>
              </w:r>
            </w:hyperlink>
            <w:r w:rsidRPr="00EE2DA8">
              <w:rPr>
                <w:b/>
                <w:lang w:val="en-GB"/>
              </w:rPr>
              <w:t>).</w:t>
            </w:r>
            <w:bookmarkEnd w:id="1"/>
            <w:bookmarkEnd w:id="2"/>
          </w:p>
          <w:p w:rsidRPr="00EE2DA8" w:rsidR="00886903" w:rsidP="00371C2A" w:rsidRDefault="00886903" w14:paraId="289CF8A1" w14:textId="77777777">
            <w:pPr>
              <w:jc w:val="left"/>
              <w:rPr>
                <w:lang w:val="en-GB"/>
              </w:rPr>
            </w:pPr>
          </w:p>
          <w:p w:rsidRPr="00EE2DA8" w:rsidR="00886903" w:rsidP="00371C2A" w:rsidRDefault="00886903" w14:paraId="28FAFE9F" w14:textId="77777777">
            <w:pPr>
              <w:rPr>
                <w:b/>
                <w:bCs/>
                <w:lang w:val="en-GB"/>
              </w:rPr>
            </w:pPr>
            <w:r w:rsidRPr="00EE2DA8">
              <w:rPr>
                <w:lang w:val="en-GB"/>
              </w:rPr>
              <w:t xml:space="preserve">The Helpdesk (+32 (0)2 546 96 97, email: </w:t>
            </w:r>
            <w:hyperlink w:history="1" r:id="rId13">
              <w:r w:rsidRPr="00EE2DA8">
                <w:rPr>
                  <w:rStyle w:val="Hyperlink"/>
                  <w:rFonts w:eastAsiaTheme="majorEastAsia"/>
                  <w:lang w:val="en-GB"/>
                </w:rPr>
                <w:t>helpdesk@cor.europa.eu</w:t>
              </w:r>
            </w:hyperlink>
            <w:r w:rsidRPr="00EE2DA8">
              <w:rPr>
                <w:lang w:val="en-GB"/>
              </w:rPr>
              <w:t xml:space="preserve">) is at your disposal to provide you with any assistance you may need. </w:t>
            </w:r>
            <w:bookmarkStart w:name="_Hlt311719174" w:id="3"/>
            <w:bookmarkStart w:name="_Hlt311719175" w:id="4"/>
            <w:bookmarkStart w:name="_Hlt311647092" w:id="5"/>
            <w:bookmarkStart w:name="_Hlt311647093" w:id="6"/>
            <w:r w:rsidRPr="00EE2DA8">
              <w:rPr>
                <w:lang w:val="en-GB"/>
              </w:rPr>
              <w:t xml:space="preserve">In addition, a user guide is available at </w:t>
            </w:r>
            <w:hyperlink w:history="1" r:id="rId14">
              <w:r w:rsidRPr="00A574FF">
                <w:rPr>
                  <w:rStyle w:val="Hyperlink"/>
                  <w:rFonts w:eastAsiaTheme="majorEastAsia"/>
                  <w:lang w:val="en-GB"/>
                </w:rPr>
                <w:t>https://memportal.cor.europa.eu/</w:t>
              </w:r>
            </w:hyperlink>
            <w:bookmarkEnd w:id="3"/>
            <w:bookmarkEnd w:id="4"/>
            <w:bookmarkEnd w:id="5"/>
            <w:bookmarkEnd w:id="6"/>
          </w:p>
          <w:p w:rsidRPr="00EE2DA8" w:rsidR="00886903" w:rsidP="00371C2A" w:rsidRDefault="00886903" w14:paraId="4006F433" w14:textId="77777777">
            <w:pPr>
              <w:rPr>
                <w:i/>
                <w:iCs/>
                <w:lang w:val="en-GB"/>
              </w:rPr>
            </w:pPr>
          </w:p>
          <w:p w:rsidRPr="00EE2DA8" w:rsidR="00886903" w:rsidP="00371C2A" w:rsidRDefault="00886903" w14:paraId="65D32B95" w14:textId="6BEB88DC">
            <w:pPr>
              <w:rPr>
                <w:lang w:val="en-GB"/>
              </w:rPr>
            </w:pPr>
            <w:r w:rsidRPr="00EE2DA8">
              <w:rPr>
                <w:iCs/>
                <w:u w:val="single"/>
                <w:lang w:val="en-GB"/>
              </w:rPr>
              <w:t>Number of signatures required</w:t>
            </w:r>
            <w:r w:rsidRPr="00EE2DA8">
              <w:rPr>
                <w:iCs/>
                <w:lang w:val="en-GB"/>
              </w:rPr>
              <w:t>: 6</w:t>
            </w:r>
          </w:p>
          <w:p w:rsidRPr="00EE2DA8" w:rsidR="00886903" w:rsidP="00371C2A" w:rsidRDefault="00886903" w14:paraId="713BD1E9" w14:textId="77777777">
            <w:pPr>
              <w:rPr>
                <w:lang w:val="en-GB"/>
              </w:rPr>
            </w:pPr>
          </w:p>
        </w:tc>
      </w:tr>
    </w:tbl>
    <w:p w:rsidRPr="00EE2DA8" w:rsidR="002C7F54" w:rsidP="00402160" w:rsidRDefault="002C7F54" w14:paraId="50A18AAB" w14:textId="77777777">
      <w:pPr>
        <w:jc w:val="left"/>
        <w:rPr>
          <w:lang w:val="en-GB"/>
        </w:rPr>
      </w:pPr>
    </w:p>
    <w:p w:rsidRPr="00EE2DA8" w:rsidR="00042841" w:rsidP="00402160" w:rsidRDefault="00383CFD" w14:paraId="6051A7F2" w14:textId="77777777">
      <w:pPr>
        <w:spacing w:after="200" w:line="276" w:lineRule="auto"/>
        <w:jc w:val="left"/>
        <w:rPr>
          <w:lang w:val="en-GB"/>
        </w:rPr>
        <w:sectPr w:rsidRPr="00EE2DA8" w:rsidR="00042841" w:rsidSect="00EE2DA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A574FF">
        <w:rPr>
          <w:noProof/>
        </w:rPr>
        <w:drawing>
          <wp:anchor distT="0" distB="0" distL="114300" distR="114300" simplePos="0" relativeHeight="251670528" behindDoc="0" locked="0" layoutInCell="0" allowOverlap="0" wp14:editId="526B4357" wp14:anchorId="39321C0F">
            <wp:simplePos x="0" y="0"/>
            <wp:positionH relativeFrom="page">
              <wp:posOffset>920750</wp:posOffset>
            </wp:positionH>
            <wp:positionV relativeFrom="page">
              <wp:posOffset>10271125</wp:posOffset>
            </wp:positionV>
            <wp:extent cx="5759450" cy="266700"/>
            <wp:effectExtent l="0" t="0" r="0" b="0"/>
            <wp:wrapNone/>
            <wp:docPr id="6" name="Picture 6" descr="C:\Users\mreg\Music\_New CoR logo\New LOGO CoR\Address\CoR letterhead top banner - address FR-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eg\Music\_New CoR logo\New LOGO CoR\Address\CoR letterhead top banner - address FR-N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E2DA8" w:rsidR="008A3B20" w:rsidP="00402160" w:rsidRDefault="00103FA9" w14:paraId="37A4E959" w14:textId="3B944A97">
      <w:pPr>
        <w:keepNext/>
        <w:jc w:val="center"/>
        <w:rPr>
          <w:b/>
          <w:bCs/>
          <w:lang w:val="en-GB"/>
        </w:rPr>
      </w:pPr>
      <w:r w:rsidRPr="00EE2DA8">
        <w:rPr>
          <w:b/>
          <w:bCs/>
          <w:lang w:val="en-GB"/>
        </w:rPr>
        <w:lastRenderedPageBreak/>
        <w:t xml:space="preserve">Draft </w:t>
      </w:r>
      <w:r w:rsidRPr="00EE2DA8" w:rsidR="008A3B20">
        <w:rPr>
          <w:b/>
          <w:bCs/>
          <w:lang w:val="en-GB"/>
        </w:rPr>
        <w:t xml:space="preserve">Resolution on the European Committee of the Regions' proposals </w:t>
      </w:r>
      <w:r w:rsidRPr="00EE2DA8" w:rsidR="00F008C2">
        <w:rPr>
          <w:b/>
          <w:bCs/>
          <w:lang w:val="en-GB"/>
        </w:rPr>
        <w:br/>
      </w:r>
      <w:r w:rsidRPr="00EE2DA8" w:rsidR="008A3B20">
        <w:rPr>
          <w:b/>
          <w:bCs/>
          <w:lang w:val="en-GB"/>
        </w:rPr>
        <w:t>in view of the European Commission Work Programme for 202</w:t>
      </w:r>
      <w:r w:rsidRPr="00EE2DA8" w:rsidR="00AC0140">
        <w:rPr>
          <w:b/>
          <w:bCs/>
          <w:lang w:val="en-GB"/>
        </w:rPr>
        <w:t>2</w:t>
      </w:r>
    </w:p>
    <w:p w:rsidRPr="00EE2DA8" w:rsidR="008A3B20" w:rsidP="00402160" w:rsidRDefault="008A3B20" w14:paraId="4C98CD87" w14:textId="77777777">
      <w:pPr>
        <w:keepNext/>
        <w:rPr>
          <w:lang w:val="en-GB"/>
        </w:rPr>
      </w:pPr>
    </w:p>
    <w:p w:rsidRPr="00EE2DA8" w:rsidR="008A3B20" w:rsidP="00402160" w:rsidRDefault="008A3B20" w14:paraId="1D1197DA" w14:textId="77777777">
      <w:pPr>
        <w:keepNext/>
        <w:rPr>
          <w:lang w:val="en-GB"/>
        </w:rPr>
      </w:pPr>
      <w:r w:rsidRPr="00EE2DA8">
        <w:rPr>
          <w:lang w:val="en-GB"/>
        </w:rPr>
        <w:t>THE EUROPEAN COMMITTEE OF THE REGIONS (CoR)</w:t>
      </w:r>
      <w:r w:rsidRPr="00EE2DA8" w:rsidR="00876F20">
        <w:rPr>
          <w:lang w:val="en-GB"/>
        </w:rPr>
        <w:t>,</w:t>
      </w:r>
    </w:p>
    <w:p w:rsidRPr="00EE2DA8" w:rsidR="008A3B20" w:rsidP="00402160" w:rsidRDefault="008A3B20" w14:paraId="46FB3793" w14:textId="77777777">
      <w:pPr>
        <w:rPr>
          <w:lang w:val="en-GB"/>
        </w:rPr>
      </w:pPr>
    </w:p>
    <w:p w:rsidRPr="00EE2DA8" w:rsidR="008A3B20" w:rsidP="00402160" w:rsidRDefault="00876F20" w14:paraId="2E8FD0C7" w14:textId="77777777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EE2DA8">
        <w:rPr>
          <w:lang w:val="en-GB"/>
        </w:rPr>
        <w:t>h</w:t>
      </w:r>
      <w:r w:rsidRPr="00EE2DA8" w:rsidR="008A3B20">
        <w:rPr>
          <w:lang w:val="en-GB"/>
        </w:rPr>
        <w:t>aving regard to:</w:t>
      </w:r>
    </w:p>
    <w:p w:rsidRPr="00EE2DA8" w:rsidR="008A3B20" w:rsidP="00A574FF" w:rsidRDefault="008A3B20" w14:paraId="5E493BFB" w14:textId="42FE69A8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Pr="00EE2DA8" w:rsidR="008A3B20" w:rsidP="00886903" w:rsidRDefault="008A3B20" w14:paraId="3A8EF648" w14:textId="7777777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EE2DA8">
        <w:rPr>
          <w:lang w:val="en-GB"/>
        </w:rPr>
        <w:t>the Protocol of Cooperation with the European Commission of February 2012</w:t>
      </w:r>
      <w:r w:rsidRPr="00EE2DA8" w:rsidR="00876F20">
        <w:rPr>
          <w:lang w:val="en-GB"/>
        </w:rPr>
        <w:t>,</w:t>
      </w:r>
    </w:p>
    <w:p w:rsidRPr="00A574FF" w:rsidR="00E8197E" w:rsidP="00886903" w:rsidRDefault="00AC0140" w14:paraId="198B09CA" w14:textId="7777777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A574FF">
        <w:rPr>
          <w:lang w:val="en-GB"/>
        </w:rPr>
        <w:t xml:space="preserve">the CoR </w:t>
      </w:r>
      <w:r w:rsidRPr="00EE2DA8">
        <w:rPr>
          <w:lang w:val="en-GB"/>
        </w:rPr>
        <w:t>Resolution</w:t>
      </w:r>
      <w:r w:rsidRPr="00A574FF">
        <w:rPr>
          <w:lang w:val="en-GB"/>
        </w:rPr>
        <w:t xml:space="preserve"> on the European Committee of the Regions' priorities for 2020-2025</w:t>
      </w:r>
      <w:r w:rsidRPr="00A574FF">
        <w:rPr>
          <w:rStyle w:val="FootnoteReference"/>
          <w:lang w:val="en-GB"/>
        </w:rPr>
        <w:footnoteReference w:id="2"/>
      </w:r>
      <w:r w:rsidRPr="00A574FF">
        <w:rPr>
          <w:lang w:val="en-GB"/>
        </w:rPr>
        <w:t>,</w:t>
      </w:r>
    </w:p>
    <w:p w:rsidRPr="00A574FF" w:rsidR="00F6780C" w:rsidP="00886903" w:rsidRDefault="00F6780C" w14:paraId="060357DD" w14:textId="6818FA6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lang w:val="en-GB"/>
        </w:rPr>
      </w:pPr>
      <w:r w:rsidRPr="00A574FF">
        <w:rPr>
          <w:lang w:val="en-GB"/>
        </w:rPr>
        <w:t xml:space="preserve">the contributions of regional parliaments with legislative powers received in the framework of the CoR-CALRE cooperation agreement </w:t>
      </w:r>
    </w:p>
    <w:p w:rsidRPr="00EE2DA8" w:rsidR="00BB6FFB" w:rsidP="00402160" w:rsidRDefault="00BB6FFB" w14:paraId="59EE7A36" w14:textId="71AE5C5B">
      <w:pPr>
        <w:suppressAutoHyphens/>
        <w:rPr>
          <w:lang w:val="en-GB"/>
        </w:rPr>
      </w:pPr>
    </w:p>
    <w:p w:rsidRPr="00EE2DA8" w:rsidR="008A5DBD" w:rsidP="00402160" w:rsidRDefault="008A5DBD" w14:paraId="491A0A51" w14:textId="25CD0C38">
      <w:pPr>
        <w:suppressAutoHyphens/>
        <w:rPr>
          <w:i/>
          <w:lang w:val="en-GB"/>
        </w:rPr>
      </w:pPr>
      <w:r w:rsidRPr="00EE2DA8">
        <w:rPr>
          <w:i/>
          <w:lang w:val="en-GB"/>
        </w:rPr>
        <w:t xml:space="preserve">Recovery and Cohesion </w:t>
      </w:r>
    </w:p>
    <w:p w:rsidRPr="00EE2DA8" w:rsidR="00886903" w:rsidP="00886903" w:rsidRDefault="00886903" w14:paraId="04346BE2" w14:textId="4B461C7C">
      <w:pPr>
        <w:rPr>
          <w:lang w:val="en-GB"/>
        </w:rPr>
      </w:pPr>
    </w:p>
    <w:p w:rsidRPr="00EE2DA8" w:rsidR="00332843" w:rsidP="00886903" w:rsidRDefault="009C4D3D" w14:paraId="4A289F0F" w14:textId="4FBE1FFC">
      <w:pPr>
        <w:pStyle w:val="Heading1"/>
        <w:rPr>
          <w:lang w:val="en-GB"/>
        </w:rPr>
      </w:pPr>
      <w:r w:rsidRPr="00EE2DA8">
        <w:rPr>
          <w:lang w:val="en-GB"/>
        </w:rPr>
        <w:t>A</w:t>
      </w:r>
      <w:r w:rsidRPr="00EE2DA8" w:rsidR="00936C0F">
        <w:rPr>
          <w:lang w:val="en-GB"/>
        </w:rPr>
        <w:t>s</w:t>
      </w:r>
      <w:r w:rsidRPr="00EE2DA8" w:rsidR="00E10F02">
        <w:rPr>
          <w:lang w:val="en-GB"/>
        </w:rPr>
        <w:t xml:space="preserve"> the implementation of the Next Generation EU</w:t>
      </w:r>
      <w:r w:rsidRPr="00EE2DA8" w:rsidR="00936C0F">
        <w:rPr>
          <w:lang w:val="en-GB"/>
        </w:rPr>
        <w:t xml:space="preserve"> will be </w:t>
      </w:r>
      <w:r w:rsidRPr="00EE2DA8" w:rsidR="00B10C10">
        <w:rPr>
          <w:lang w:val="en-GB"/>
        </w:rPr>
        <w:t xml:space="preserve">a </w:t>
      </w:r>
      <w:r w:rsidRPr="00EE2DA8" w:rsidR="00936C0F">
        <w:rPr>
          <w:lang w:val="en-GB"/>
        </w:rPr>
        <w:t>fundamental</w:t>
      </w:r>
      <w:r w:rsidRPr="00EE2DA8" w:rsidR="00881372">
        <w:rPr>
          <w:lang w:val="en-GB"/>
        </w:rPr>
        <w:t xml:space="preserve"> priority of the European Commission Work Programme for </w:t>
      </w:r>
      <w:r w:rsidRPr="00EE2DA8" w:rsidR="00936C0F">
        <w:rPr>
          <w:lang w:val="en-GB"/>
        </w:rPr>
        <w:t>2022, the CoR c</w:t>
      </w:r>
      <w:r w:rsidRPr="00EE2DA8" w:rsidR="0053106D">
        <w:rPr>
          <w:lang w:val="en-GB"/>
        </w:rPr>
        <w:t xml:space="preserve">alls on the Commission to ensure </w:t>
      </w:r>
      <w:r w:rsidRPr="00EE2DA8" w:rsidR="00B10C10">
        <w:rPr>
          <w:lang w:val="en-GB"/>
        </w:rPr>
        <w:t xml:space="preserve">that </w:t>
      </w:r>
      <w:r w:rsidRPr="00EE2DA8" w:rsidR="0053106D">
        <w:rPr>
          <w:lang w:val="en-GB"/>
        </w:rPr>
        <w:t>local and regional authorities are involved in the implementation of the N</w:t>
      </w:r>
      <w:r w:rsidRPr="00EE2DA8" w:rsidR="001A22C2">
        <w:rPr>
          <w:lang w:val="en-GB"/>
        </w:rPr>
        <w:t>ational Recovery and R</w:t>
      </w:r>
      <w:r w:rsidRPr="00EE2DA8" w:rsidR="00FD3CA2">
        <w:rPr>
          <w:lang w:val="en-GB"/>
        </w:rPr>
        <w:t>esilience</w:t>
      </w:r>
      <w:r w:rsidRPr="00EE2DA8" w:rsidR="001A22C2">
        <w:rPr>
          <w:lang w:val="en-GB"/>
        </w:rPr>
        <w:t xml:space="preserve"> Plans (N</w:t>
      </w:r>
      <w:r w:rsidRPr="00EE2DA8" w:rsidR="0053106D">
        <w:rPr>
          <w:lang w:val="en-GB"/>
        </w:rPr>
        <w:t>RRPs</w:t>
      </w:r>
      <w:r w:rsidRPr="00EE2DA8" w:rsidR="00817146">
        <w:rPr>
          <w:lang w:val="en-GB"/>
        </w:rPr>
        <w:t>)</w:t>
      </w:r>
      <w:r w:rsidRPr="00EE2DA8" w:rsidR="00936C0F">
        <w:rPr>
          <w:lang w:val="en-GB"/>
        </w:rPr>
        <w:t>, which is key to reach</w:t>
      </w:r>
      <w:r w:rsidRPr="00EE2DA8" w:rsidR="00D35E01">
        <w:rPr>
          <w:lang w:val="en-GB"/>
        </w:rPr>
        <w:t>ing</w:t>
      </w:r>
      <w:r w:rsidRPr="00EE2DA8" w:rsidR="00936C0F">
        <w:rPr>
          <w:lang w:val="en-GB"/>
        </w:rPr>
        <w:t xml:space="preserve"> the </w:t>
      </w:r>
      <w:r w:rsidRPr="00EE2DA8" w:rsidR="00753F4F">
        <w:rPr>
          <w:lang w:val="en-GB"/>
        </w:rPr>
        <w:t>objectives of the</w:t>
      </w:r>
      <w:r w:rsidRPr="00EE2DA8" w:rsidR="001A22C2">
        <w:rPr>
          <w:lang w:val="en-GB"/>
        </w:rPr>
        <w:t xml:space="preserve"> Recovery and Resilience F</w:t>
      </w:r>
      <w:r w:rsidRPr="00EE2DA8" w:rsidR="00B10C10">
        <w:rPr>
          <w:lang w:val="en-GB"/>
        </w:rPr>
        <w:t>acility</w:t>
      </w:r>
      <w:r w:rsidRPr="00EE2DA8" w:rsidR="001A22C2">
        <w:rPr>
          <w:lang w:val="en-GB"/>
        </w:rPr>
        <w:t xml:space="preserve"> (RRF)</w:t>
      </w:r>
      <w:r w:rsidRPr="00EE2DA8" w:rsidR="00B10C10">
        <w:rPr>
          <w:lang w:val="en-GB"/>
        </w:rPr>
        <w:t>,</w:t>
      </w:r>
      <w:r w:rsidRPr="00EE2DA8" w:rsidR="001A22C2">
        <w:rPr>
          <w:lang w:val="en-GB"/>
        </w:rPr>
        <w:t xml:space="preserve"> to </w:t>
      </w:r>
      <w:r w:rsidRPr="00EE2DA8" w:rsidR="00F14E19">
        <w:rPr>
          <w:lang w:val="en-GB"/>
        </w:rPr>
        <w:t xml:space="preserve">ensuring </w:t>
      </w:r>
      <w:r w:rsidRPr="00EE2DA8" w:rsidR="001A22C2">
        <w:rPr>
          <w:lang w:val="en-GB"/>
        </w:rPr>
        <w:t xml:space="preserve">better </w:t>
      </w:r>
      <w:r w:rsidRPr="00EE2DA8" w:rsidR="00F14E19">
        <w:rPr>
          <w:lang w:val="en-GB"/>
        </w:rPr>
        <w:t xml:space="preserve">coordination </w:t>
      </w:r>
      <w:r w:rsidRPr="00EE2DA8" w:rsidR="001A22C2">
        <w:rPr>
          <w:lang w:val="en-GB"/>
        </w:rPr>
        <w:t>with the cohesion policy's programmes</w:t>
      </w:r>
      <w:r w:rsidRPr="00EE2DA8" w:rsidR="00B51E08">
        <w:rPr>
          <w:lang w:val="en-GB"/>
        </w:rPr>
        <w:t xml:space="preserve"> and </w:t>
      </w:r>
      <w:r w:rsidRPr="00EE2DA8" w:rsidR="00016480">
        <w:rPr>
          <w:lang w:val="en-GB"/>
        </w:rPr>
        <w:t xml:space="preserve">to </w:t>
      </w:r>
      <w:r w:rsidRPr="00EE2DA8" w:rsidR="00B51E08">
        <w:rPr>
          <w:lang w:val="en-GB"/>
        </w:rPr>
        <w:t>prevent</w:t>
      </w:r>
      <w:r w:rsidRPr="00EE2DA8" w:rsidR="00F14E19">
        <w:rPr>
          <w:lang w:val="en-GB"/>
        </w:rPr>
        <w:t>ing</w:t>
      </w:r>
      <w:r w:rsidRPr="00EE2DA8" w:rsidR="00B51E08">
        <w:rPr>
          <w:lang w:val="en-GB"/>
        </w:rPr>
        <w:t xml:space="preserve"> potentially low absorption rates</w:t>
      </w:r>
      <w:r w:rsidRPr="00EE2DA8" w:rsidR="001A22C2">
        <w:rPr>
          <w:lang w:val="en-GB"/>
        </w:rPr>
        <w:t>. Also</w:t>
      </w:r>
      <w:r w:rsidRPr="00EE2DA8" w:rsidR="00753F4F">
        <w:rPr>
          <w:lang w:val="en-GB"/>
        </w:rPr>
        <w:t xml:space="preserve"> highlights</w:t>
      </w:r>
      <w:r w:rsidRPr="00EE2DA8" w:rsidR="0053106D">
        <w:rPr>
          <w:lang w:val="en-GB"/>
        </w:rPr>
        <w:t xml:space="preserve"> </w:t>
      </w:r>
      <w:r w:rsidRPr="00EE2DA8" w:rsidR="00753F4F">
        <w:rPr>
          <w:lang w:val="en-GB"/>
        </w:rPr>
        <w:t xml:space="preserve">the need </w:t>
      </w:r>
      <w:r w:rsidRPr="00EE2DA8" w:rsidR="00F14E19">
        <w:rPr>
          <w:lang w:val="en-GB"/>
        </w:rPr>
        <w:t xml:space="preserve">to involve </w:t>
      </w:r>
      <w:r w:rsidRPr="00EE2DA8" w:rsidR="00753F4F">
        <w:rPr>
          <w:lang w:val="en-GB"/>
        </w:rPr>
        <w:t>LRAs</w:t>
      </w:r>
      <w:r w:rsidRPr="00EE2DA8" w:rsidR="0053106D">
        <w:rPr>
          <w:lang w:val="en-GB"/>
        </w:rPr>
        <w:t xml:space="preserve"> in the European Semester process</w:t>
      </w:r>
      <w:r w:rsidRPr="00EE2DA8" w:rsidR="00753F4F">
        <w:rPr>
          <w:lang w:val="en-GB"/>
        </w:rPr>
        <w:t>es</w:t>
      </w:r>
      <w:r w:rsidRPr="00EE2DA8" w:rsidR="00F14E19">
        <w:rPr>
          <w:lang w:val="en-GB"/>
        </w:rPr>
        <w:t>,</w:t>
      </w:r>
      <w:r w:rsidRPr="00EE2DA8" w:rsidR="0053106D">
        <w:rPr>
          <w:lang w:val="en-GB"/>
        </w:rPr>
        <w:t xml:space="preserve"> </w:t>
      </w:r>
      <w:r w:rsidRPr="00EE2DA8" w:rsidR="00753F4F">
        <w:rPr>
          <w:lang w:val="en-GB"/>
        </w:rPr>
        <w:t>as the majority of country-specific recommendations have a local and regional dimension</w:t>
      </w:r>
      <w:r w:rsidRPr="00EE2DA8" w:rsidR="0053106D">
        <w:rPr>
          <w:lang w:val="en-GB"/>
        </w:rPr>
        <w:t>;</w:t>
      </w:r>
    </w:p>
    <w:p w:rsidRPr="00EE2DA8" w:rsidR="00332843" w:rsidP="00402160" w:rsidRDefault="00332843" w14:paraId="051BF9DC" w14:textId="7BE35BAB">
      <w:pPr>
        <w:suppressAutoHyphens/>
        <w:rPr>
          <w:lang w:val="en-GB"/>
        </w:rPr>
      </w:pPr>
    </w:p>
    <w:p w:rsidRPr="00EE2DA8" w:rsidR="00817146" w:rsidP="00886903" w:rsidRDefault="00881372" w14:paraId="00F918F9" w14:textId="676DFA5D">
      <w:pPr>
        <w:pStyle w:val="Heading1"/>
        <w:rPr>
          <w:lang w:val="en-GB"/>
        </w:rPr>
      </w:pPr>
      <w:r w:rsidRPr="00EE2DA8">
        <w:rPr>
          <w:lang w:val="en-GB"/>
        </w:rPr>
        <w:t>Reiterates its call to the Commission to integrate the Sustainable Development Goals within</w:t>
      </w:r>
      <w:r w:rsidRPr="00EE2DA8" w:rsidR="00016480">
        <w:rPr>
          <w:lang w:val="en-GB"/>
        </w:rPr>
        <w:t xml:space="preserve"> a reformed </w:t>
      </w:r>
      <w:r w:rsidRPr="00EE2DA8">
        <w:rPr>
          <w:lang w:val="en-GB"/>
        </w:rPr>
        <w:t>European Semester</w:t>
      </w:r>
      <w:r w:rsidRPr="00EE2DA8" w:rsidR="00F14E19">
        <w:rPr>
          <w:lang w:val="en-GB"/>
        </w:rPr>
        <w:t>,</w:t>
      </w:r>
      <w:r w:rsidRPr="00EE2DA8">
        <w:rPr>
          <w:lang w:val="en-GB"/>
        </w:rPr>
        <w:t xml:space="preserve"> map them in the NRRPs, and on this basis integrate them into the next cycle</w:t>
      </w:r>
      <w:r w:rsidRPr="00EE2DA8" w:rsidR="00F14E19">
        <w:rPr>
          <w:lang w:val="en-GB"/>
        </w:rPr>
        <w:t>,</w:t>
      </w:r>
      <w:r w:rsidRPr="00EE2DA8">
        <w:rPr>
          <w:lang w:val="en-GB"/>
        </w:rPr>
        <w:t xml:space="preserve"> starting with the Annual Sustainable Growth Survey. The CoR also expects a EU multi-stakeholder platform on SDGs </w:t>
      </w:r>
      <w:r w:rsidRPr="00EE2DA8" w:rsidR="00F14E19">
        <w:rPr>
          <w:lang w:val="en-GB"/>
        </w:rPr>
        <w:t xml:space="preserve">to be set up </w:t>
      </w:r>
      <w:r w:rsidRPr="00EE2DA8">
        <w:rPr>
          <w:lang w:val="en-GB"/>
        </w:rPr>
        <w:t>to support and advise the Commission on the timely implementation of the SDGs;</w:t>
      </w:r>
    </w:p>
    <w:p w:rsidRPr="00EE2DA8" w:rsidR="00162E2E" w:rsidP="0039184B" w:rsidRDefault="00162E2E" w14:paraId="5ABA21BE" w14:textId="77777777">
      <w:pPr>
        <w:rPr>
          <w:lang w:val="en-GB"/>
        </w:rPr>
      </w:pPr>
    </w:p>
    <w:p w:rsidRPr="00EE2DA8" w:rsidR="00BB6FFB" w:rsidP="00886903" w:rsidRDefault="00BB6FFB" w14:paraId="1DADC7A2" w14:textId="02EA1C4B">
      <w:pPr>
        <w:pStyle w:val="Heading1"/>
        <w:rPr>
          <w:lang w:val="en-GB"/>
        </w:rPr>
      </w:pPr>
      <w:r w:rsidRPr="00EE2DA8">
        <w:rPr>
          <w:lang w:val="en-GB"/>
        </w:rPr>
        <w:t xml:space="preserve">Calls on the European Commission to put forward a proposal to extend </w:t>
      </w:r>
      <w:r w:rsidRPr="00EE2DA8" w:rsidR="00255BC2">
        <w:rPr>
          <w:lang w:val="en-GB"/>
        </w:rPr>
        <w:t xml:space="preserve">until the end of 2022 </w:t>
      </w:r>
      <w:r w:rsidRPr="00EE2DA8">
        <w:rPr>
          <w:lang w:val="en-GB"/>
        </w:rPr>
        <w:t>the current exceptional flexibility measures under the Coronavirus Response Investment Initiative Plus</w:t>
      </w:r>
      <w:r w:rsidRPr="00EE2DA8" w:rsidR="00255BC2">
        <w:rPr>
          <w:lang w:val="en-GB"/>
        </w:rPr>
        <w:t>,</w:t>
      </w:r>
      <w:r w:rsidRPr="00EE2DA8" w:rsidR="00765095">
        <w:rPr>
          <w:lang w:val="en-GB"/>
        </w:rPr>
        <w:t xml:space="preserve"> </w:t>
      </w:r>
      <w:r w:rsidRPr="00EE2DA8">
        <w:rPr>
          <w:lang w:val="en-GB"/>
        </w:rPr>
        <w:t xml:space="preserve">such as the possibility </w:t>
      </w:r>
      <w:r w:rsidRPr="00EE2DA8" w:rsidR="00255BC2">
        <w:rPr>
          <w:lang w:val="en-GB"/>
        </w:rPr>
        <w:t xml:space="preserve">of </w:t>
      </w:r>
      <w:r w:rsidRPr="00EE2DA8">
        <w:rPr>
          <w:lang w:val="en-GB"/>
        </w:rPr>
        <w:t xml:space="preserve">a 100% EU co-financing rate, and to consider a temporary increase of the </w:t>
      </w:r>
      <w:r w:rsidRPr="00A574FF">
        <w:rPr>
          <w:i/>
          <w:lang w:val="en-GB"/>
        </w:rPr>
        <w:t>de minimis</w:t>
      </w:r>
      <w:r w:rsidRPr="00EE2DA8">
        <w:rPr>
          <w:lang w:val="en-GB"/>
        </w:rPr>
        <w:t xml:space="preserve"> state aid threshold in order to continue supporting sustainable investments</w:t>
      </w:r>
      <w:r w:rsidRPr="00EE2DA8" w:rsidR="00D7170F">
        <w:rPr>
          <w:lang w:val="en-GB"/>
        </w:rPr>
        <w:t xml:space="preserve"> for the same period</w:t>
      </w:r>
      <w:r w:rsidRPr="00EE2DA8">
        <w:rPr>
          <w:lang w:val="en-GB"/>
        </w:rPr>
        <w:t>;</w:t>
      </w:r>
    </w:p>
    <w:p w:rsidRPr="00EE2DA8" w:rsidR="00A44EB8" w:rsidP="00402160" w:rsidRDefault="00A44EB8" w14:paraId="2ED05211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BD7919" w:rsidP="00886903" w:rsidRDefault="00AA297D" w14:paraId="7BA42031" w14:textId="04DE31D2">
      <w:pPr>
        <w:pStyle w:val="Heading1"/>
        <w:rPr>
          <w:lang w:val="en-GB"/>
        </w:rPr>
      </w:pPr>
      <w:r w:rsidRPr="00EE2DA8">
        <w:rPr>
          <w:lang w:val="en-GB"/>
        </w:rPr>
        <w:t xml:space="preserve">Urges the Commission to take all the necessary measures to ensure </w:t>
      </w:r>
      <w:r w:rsidRPr="00EE2DA8" w:rsidR="009C4D3D">
        <w:rPr>
          <w:lang w:val="en-GB"/>
        </w:rPr>
        <w:t xml:space="preserve">the </w:t>
      </w:r>
      <w:r w:rsidRPr="00EE2DA8">
        <w:rPr>
          <w:lang w:val="en-GB"/>
        </w:rPr>
        <w:t>full implementation of the legally binding roadmap to introduce new own resources in the course of the current MFF, including by making timely legislative proposals;</w:t>
      </w:r>
    </w:p>
    <w:p w:rsidRPr="00EE2DA8" w:rsidR="007B0357" w:rsidP="007B0357" w:rsidRDefault="007B0357" w14:paraId="06E15348" w14:textId="77777777">
      <w:pPr>
        <w:rPr>
          <w:lang w:val="en-GB"/>
        </w:rPr>
      </w:pPr>
    </w:p>
    <w:p w:rsidRPr="00EE2DA8" w:rsidR="00A44EB8" w:rsidP="00886903" w:rsidRDefault="00A44EB8" w14:paraId="08E92335" w14:textId="6A4C1886">
      <w:pPr>
        <w:pStyle w:val="Heading1"/>
        <w:rPr>
          <w:lang w:val="en-GB"/>
        </w:rPr>
      </w:pPr>
      <w:r w:rsidRPr="00EE2DA8">
        <w:rPr>
          <w:lang w:val="en-GB"/>
        </w:rPr>
        <w:t>Calls on the Commission to take into account the</w:t>
      </w:r>
      <w:r w:rsidRPr="00EE2DA8" w:rsidR="00497E95">
        <w:rPr>
          <w:lang w:val="en-GB"/>
        </w:rPr>
        <w:t xml:space="preserve"> reality and the needs of local and regional authorities, as well as the</w:t>
      </w:r>
      <w:r w:rsidRPr="00EE2DA8">
        <w:rPr>
          <w:lang w:val="en-GB"/>
        </w:rPr>
        <w:t xml:space="preserve"> impact of the COVID-19 pandemic on debt and deficit levels in its relaunch of the review of</w:t>
      </w:r>
      <w:r w:rsidRPr="00EE2DA8" w:rsidR="00497E95">
        <w:rPr>
          <w:lang w:val="en-GB"/>
        </w:rPr>
        <w:t xml:space="preserve"> the European </w:t>
      </w:r>
      <w:r w:rsidRPr="00EE2DA8">
        <w:rPr>
          <w:lang w:val="en-GB"/>
        </w:rPr>
        <w:t>economic governance</w:t>
      </w:r>
      <w:r w:rsidRPr="00EE2DA8" w:rsidR="00497E95">
        <w:rPr>
          <w:lang w:val="en-GB"/>
        </w:rPr>
        <w:t xml:space="preserve"> framework</w:t>
      </w:r>
      <w:r w:rsidRPr="00EE2DA8" w:rsidR="00255BC2">
        <w:rPr>
          <w:lang w:val="en-GB"/>
        </w:rPr>
        <w:t>,</w:t>
      </w:r>
      <w:r w:rsidRPr="00EE2DA8">
        <w:rPr>
          <w:lang w:val="en-GB"/>
        </w:rPr>
        <w:t xml:space="preserve"> notably with regard to public investment at all levels of government;</w:t>
      </w:r>
    </w:p>
    <w:p w:rsidRPr="00EE2DA8" w:rsidR="00BB6FFB" w:rsidDel="00883622" w:rsidP="00402160" w:rsidRDefault="00BB6FFB" w14:paraId="72F8513D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DC34E6" w:rsidP="00886903" w:rsidRDefault="00800E65" w14:paraId="4631069F" w14:textId="0455BE21">
      <w:pPr>
        <w:pStyle w:val="Heading1"/>
        <w:rPr>
          <w:lang w:val="en-GB"/>
        </w:rPr>
      </w:pPr>
      <w:r w:rsidRPr="00EE2DA8">
        <w:rPr>
          <w:lang w:val="en-GB"/>
        </w:rPr>
        <w:t>Commits to participate in</w:t>
      </w:r>
      <w:r w:rsidRPr="00EE2DA8" w:rsidR="00753F4F">
        <w:rPr>
          <w:lang w:val="en-GB"/>
        </w:rPr>
        <w:t xml:space="preserve"> </w:t>
      </w:r>
      <w:r w:rsidRPr="00EE2DA8">
        <w:rPr>
          <w:lang w:val="en-GB"/>
        </w:rPr>
        <w:t xml:space="preserve">the design and implementation of the </w:t>
      </w:r>
      <w:r w:rsidRPr="00EE2DA8" w:rsidR="0039184B">
        <w:rPr>
          <w:lang w:val="en-GB"/>
        </w:rPr>
        <w:t>EU</w:t>
      </w:r>
      <w:r w:rsidRPr="00EE2DA8" w:rsidR="0053106D">
        <w:rPr>
          <w:lang w:val="en-GB"/>
        </w:rPr>
        <w:t xml:space="preserve"> strategy for the Outermost Regions</w:t>
      </w:r>
      <w:r w:rsidRPr="00EE2DA8" w:rsidR="00BB6FFB">
        <w:rPr>
          <w:lang w:val="en-GB"/>
        </w:rPr>
        <w:t>;</w:t>
      </w:r>
    </w:p>
    <w:p w:rsidRPr="00EE2DA8" w:rsidR="00DC34E6" w:rsidP="00DC34E6" w:rsidRDefault="00DC34E6" w14:paraId="00EDD612" w14:textId="465A8055">
      <w:pPr>
        <w:rPr>
          <w:lang w:val="en-GB"/>
        </w:rPr>
      </w:pPr>
    </w:p>
    <w:p w:rsidRPr="00EE2DA8" w:rsidR="008A5DBD" w:rsidP="00A574FF" w:rsidRDefault="00CD0FA1" w14:paraId="18FA1B5E" w14:textId="5B84D32E">
      <w:pPr>
        <w:keepNext/>
        <w:rPr>
          <w:i/>
          <w:lang w:val="en-GB"/>
        </w:rPr>
      </w:pPr>
      <w:r w:rsidRPr="00EE2DA8">
        <w:rPr>
          <w:i/>
          <w:lang w:val="en-GB"/>
        </w:rPr>
        <w:t>Environment and Sustai</w:t>
      </w:r>
      <w:r w:rsidRPr="00EE2DA8" w:rsidR="00370E90">
        <w:rPr>
          <w:i/>
          <w:lang w:val="en-GB"/>
        </w:rPr>
        <w:t>nability</w:t>
      </w:r>
    </w:p>
    <w:p w:rsidRPr="00EE2DA8" w:rsidR="008A5DBD" w:rsidP="00A574FF" w:rsidRDefault="008A5DBD" w14:paraId="554BE090" w14:textId="77777777">
      <w:pPr>
        <w:keepNext/>
        <w:rPr>
          <w:lang w:val="en-GB"/>
        </w:rPr>
      </w:pPr>
    </w:p>
    <w:p w:rsidRPr="00EE2DA8" w:rsidR="00162E2E" w:rsidP="00A574FF" w:rsidRDefault="5AECFF7F" w14:paraId="731FA1B6" w14:textId="430D63F2">
      <w:pPr>
        <w:pStyle w:val="Heading1"/>
        <w:keepNext/>
        <w:rPr>
          <w:lang w:val="en-GB"/>
        </w:rPr>
      </w:pPr>
      <w:r w:rsidRPr="00EE2DA8">
        <w:rPr>
          <w:lang w:val="en-GB"/>
        </w:rPr>
        <w:t xml:space="preserve">Welcomes the Commission`s proposal to establish </w:t>
      </w:r>
      <w:r w:rsidRPr="00EE2DA8" w:rsidR="00F439BE">
        <w:rPr>
          <w:lang w:val="en-GB"/>
        </w:rPr>
        <w:t xml:space="preserve">Zero Pollution monitoring </w:t>
      </w:r>
      <w:r w:rsidRPr="00EE2DA8" w:rsidR="009B506E">
        <w:rPr>
          <w:lang w:val="en-GB"/>
        </w:rPr>
        <w:t xml:space="preserve">jointly with the CoR </w:t>
      </w:r>
      <w:r w:rsidRPr="00EE2DA8" w:rsidR="00F439BE">
        <w:rPr>
          <w:lang w:val="en-GB"/>
        </w:rPr>
        <w:t xml:space="preserve">and, at a </w:t>
      </w:r>
      <w:r w:rsidRPr="00EE2DA8" w:rsidR="000C09DF">
        <w:rPr>
          <w:lang w:val="en-GB"/>
        </w:rPr>
        <w:t>later</w:t>
      </w:r>
      <w:r w:rsidRPr="00EE2DA8" w:rsidR="00F439BE">
        <w:rPr>
          <w:lang w:val="en-GB"/>
        </w:rPr>
        <w:t xml:space="preserve"> stage, </w:t>
      </w:r>
      <w:r w:rsidRPr="00EE2DA8">
        <w:rPr>
          <w:lang w:val="en-GB"/>
        </w:rPr>
        <w:t xml:space="preserve">a </w:t>
      </w:r>
      <w:r w:rsidRPr="00A574FF">
        <w:rPr>
          <w:i/>
          <w:iCs/>
          <w:lang w:val="en-GB"/>
        </w:rPr>
        <w:t>Scoreboard</w:t>
      </w:r>
      <w:r w:rsidRPr="00A574FF">
        <w:rPr>
          <w:lang w:val="en-GB"/>
        </w:rPr>
        <w:t xml:space="preserve"> of EU regions' </w:t>
      </w:r>
      <w:r w:rsidRPr="00A574FF">
        <w:rPr>
          <w:i/>
          <w:iCs/>
          <w:lang w:val="en-GB"/>
        </w:rPr>
        <w:t>green</w:t>
      </w:r>
      <w:r w:rsidRPr="00A574FF">
        <w:rPr>
          <w:lang w:val="en-GB"/>
        </w:rPr>
        <w:t xml:space="preserve"> performance within its zero-pollution action plan</w:t>
      </w:r>
      <w:r w:rsidRPr="00A574FF" w:rsidR="003F50D8">
        <w:rPr>
          <w:lang w:val="en-GB"/>
        </w:rPr>
        <w:t xml:space="preserve">; proposes to work together to monitor </w:t>
      </w:r>
      <w:r w:rsidRPr="00A574FF" w:rsidR="00255BC2">
        <w:rPr>
          <w:lang w:val="en-GB"/>
        </w:rPr>
        <w:t xml:space="preserve">the </w:t>
      </w:r>
      <w:r w:rsidRPr="00A574FF" w:rsidR="003F50D8">
        <w:rPr>
          <w:lang w:val="en-GB"/>
        </w:rPr>
        <w:t xml:space="preserve">progress and impacts of all Green Deal policies, including the implementation of climate action and Green Recovery, at regional level; </w:t>
      </w:r>
      <w:r w:rsidRPr="00A574FF" w:rsidR="00A93D08">
        <w:rPr>
          <w:lang w:val="en-GB"/>
        </w:rPr>
        <w:t xml:space="preserve">asks </w:t>
      </w:r>
      <w:r w:rsidRPr="00A574FF" w:rsidR="00176516">
        <w:rPr>
          <w:lang w:val="en-GB"/>
        </w:rPr>
        <w:t>to be involved in the organi</w:t>
      </w:r>
      <w:r w:rsidRPr="00A574FF" w:rsidR="00A93D08">
        <w:rPr>
          <w:lang w:val="en-GB"/>
        </w:rPr>
        <w:t>s</w:t>
      </w:r>
      <w:r w:rsidRPr="00A574FF" w:rsidR="00176516">
        <w:rPr>
          <w:lang w:val="en-GB"/>
        </w:rPr>
        <w:t>ation of the European Year for Greener Cities, if confirmed for 2022;</w:t>
      </w:r>
    </w:p>
    <w:p w:rsidRPr="00EE2DA8" w:rsidR="00162E2E" w:rsidP="00881372" w:rsidRDefault="00162E2E" w14:paraId="4B5EA5C0" w14:textId="77777777">
      <w:pPr>
        <w:rPr>
          <w:lang w:val="en-GB"/>
        </w:rPr>
      </w:pPr>
    </w:p>
    <w:p w:rsidRPr="00EE2DA8" w:rsidR="00162E2E" w:rsidP="00886903" w:rsidRDefault="00DB3026" w14:paraId="2D729392" w14:textId="1AFDC89B">
      <w:pPr>
        <w:pStyle w:val="Heading1"/>
        <w:rPr>
          <w:lang w:val="en-GB"/>
        </w:rPr>
      </w:pPr>
      <w:r w:rsidRPr="00EE2DA8">
        <w:rPr>
          <w:lang w:val="en-GB"/>
        </w:rPr>
        <w:t>Calls on the Commission to integrate in</w:t>
      </w:r>
      <w:r w:rsidRPr="00EE2DA8" w:rsidR="00A93D08">
        <w:rPr>
          <w:lang w:val="en-GB"/>
        </w:rPr>
        <w:t>to</w:t>
      </w:r>
      <w:r w:rsidRPr="00EE2DA8">
        <w:rPr>
          <w:lang w:val="en-GB"/>
        </w:rPr>
        <w:t xml:space="preserve"> the European Green Deal an Ocean Law as</w:t>
      </w:r>
      <w:r w:rsidRPr="00EE2DA8" w:rsidR="00FD3CA2">
        <w:rPr>
          <w:lang w:val="en-GB"/>
        </w:rPr>
        <w:t xml:space="preserve"> an</w:t>
      </w:r>
      <w:r w:rsidRPr="00EE2DA8">
        <w:rPr>
          <w:lang w:val="en-GB"/>
        </w:rPr>
        <w:t xml:space="preserve"> overarching strategy with measurable targets and deadlines to protect </w:t>
      </w:r>
      <w:r w:rsidRPr="00EE2DA8" w:rsidR="00FD3CA2">
        <w:rPr>
          <w:lang w:val="en-GB"/>
        </w:rPr>
        <w:t xml:space="preserve">the </w:t>
      </w:r>
      <w:r w:rsidRPr="00EE2DA8">
        <w:rPr>
          <w:lang w:val="en-GB"/>
        </w:rPr>
        <w:t>marine environment, reduce pollution and reverse biodiversity loss</w:t>
      </w:r>
      <w:r w:rsidRPr="00EE2DA8" w:rsidR="0046220A">
        <w:rPr>
          <w:lang w:val="en-GB"/>
        </w:rPr>
        <w:t>,</w:t>
      </w:r>
      <w:r w:rsidRPr="00EE2DA8" w:rsidR="005833DA">
        <w:rPr>
          <w:lang w:val="en-GB"/>
        </w:rPr>
        <w:t xml:space="preserve"> while</w:t>
      </w:r>
      <w:r w:rsidRPr="00EE2DA8" w:rsidR="0046220A">
        <w:rPr>
          <w:lang w:val="en-GB"/>
        </w:rPr>
        <w:t xml:space="preserve"> </w:t>
      </w:r>
      <w:r w:rsidRPr="00EE2DA8">
        <w:rPr>
          <w:lang w:val="en-GB"/>
        </w:rPr>
        <w:t>protecting and promoting small-scale fishing operators;</w:t>
      </w:r>
    </w:p>
    <w:p w:rsidRPr="00EE2DA8" w:rsidR="00162E2E" w:rsidRDefault="00162E2E" w14:paraId="1096E9E8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162E2E" w:rsidP="00886903" w:rsidRDefault="003C4194" w14:paraId="426843EE" w14:textId="7C1E650D">
      <w:pPr>
        <w:pStyle w:val="Heading1"/>
        <w:rPr>
          <w:lang w:val="en-GB"/>
        </w:rPr>
      </w:pPr>
      <w:r w:rsidRPr="00EE2DA8">
        <w:rPr>
          <w:lang w:val="en-GB"/>
        </w:rPr>
        <w:t>J</w:t>
      </w:r>
      <w:r w:rsidRPr="00EE2DA8" w:rsidR="00DB3026">
        <w:rPr>
          <w:lang w:val="en-GB"/>
        </w:rPr>
        <w:t xml:space="preserve">oins the </w:t>
      </w:r>
      <w:r w:rsidRPr="00EE2DA8" w:rsidR="0001393F">
        <w:rPr>
          <w:lang w:val="en-GB"/>
        </w:rPr>
        <w:t xml:space="preserve">European </w:t>
      </w:r>
      <w:r w:rsidRPr="00EE2DA8" w:rsidR="00DB3026">
        <w:rPr>
          <w:lang w:val="en-GB"/>
        </w:rPr>
        <w:t>Parliament</w:t>
      </w:r>
      <w:r w:rsidRPr="00EE2DA8" w:rsidR="0001393F">
        <w:rPr>
          <w:lang w:val="en-GB"/>
        </w:rPr>
        <w:t>'s</w:t>
      </w:r>
      <w:r w:rsidRPr="00EE2DA8" w:rsidR="00DB3026">
        <w:rPr>
          <w:lang w:val="en-GB"/>
        </w:rPr>
        <w:t xml:space="preserve"> call </w:t>
      </w:r>
      <w:r w:rsidRPr="00EE2DA8" w:rsidR="00162E2E">
        <w:rPr>
          <w:lang w:val="en-GB"/>
        </w:rPr>
        <w:t>for</w:t>
      </w:r>
      <w:r w:rsidRPr="00EE2DA8" w:rsidR="00DB3026">
        <w:rPr>
          <w:lang w:val="en-GB"/>
        </w:rPr>
        <w:t xml:space="preserve"> the Commission to present a legally binding Biodiversity Law</w:t>
      </w:r>
      <w:r w:rsidRPr="00EE2DA8" w:rsidR="00A93D08">
        <w:rPr>
          <w:lang w:val="en-GB"/>
        </w:rPr>
        <w:t xml:space="preserve"> by the end of 2022</w:t>
      </w:r>
      <w:r w:rsidRPr="00EE2DA8" w:rsidR="00E641D9">
        <w:rPr>
          <w:lang w:val="en-GB"/>
        </w:rPr>
        <w:t xml:space="preserve">. </w:t>
      </w:r>
      <w:r w:rsidRPr="00EE2DA8" w:rsidR="00A93D08">
        <w:rPr>
          <w:lang w:val="en-GB"/>
        </w:rPr>
        <w:t xml:space="preserve">This </w:t>
      </w:r>
      <w:r w:rsidRPr="00EE2DA8" w:rsidR="00E641D9">
        <w:rPr>
          <w:lang w:val="en-GB"/>
        </w:rPr>
        <w:t xml:space="preserve">should be accompanied </w:t>
      </w:r>
      <w:r w:rsidRPr="00EE2DA8" w:rsidR="00537482">
        <w:rPr>
          <w:lang w:val="en-GB"/>
        </w:rPr>
        <w:t xml:space="preserve">by </w:t>
      </w:r>
      <w:r w:rsidRPr="00EE2DA8" w:rsidR="00DB3026">
        <w:rPr>
          <w:lang w:val="en-GB"/>
        </w:rPr>
        <w:t xml:space="preserve">a monitoring mechanism with indicators </w:t>
      </w:r>
      <w:r w:rsidRPr="00EE2DA8" w:rsidR="00E45EE6">
        <w:rPr>
          <w:lang w:val="en-GB"/>
        </w:rPr>
        <w:t xml:space="preserve">and which </w:t>
      </w:r>
      <w:r w:rsidRPr="00EE2DA8" w:rsidR="00DB3026">
        <w:rPr>
          <w:lang w:val="en-GB"/>
        </w:rPr>
        <w:t>formally involves LRAs</w:t>
      </w:r>
      <w:r w:rsidRPr="00EE2DA8" w:rsidR="005833DA">
        <w:rPr>
          <w:lang w:val="en-GB"/>
        </w:rPr>
        <w:t>;</w:t>
      </w:r>
      <w:r w:rsidRPr="00EE2DA8" w:rsidR="00DB3026">
        <w:rPr>
          <w:lang w:val="en-GB"/>
        </w:rPr>
        <w:t xml:space="preserve"> </w:t>
      </w:r>
    </w:p>
    <w:p w:rsidRPr="00EE2DA8" w:rsidR="00162E2E" w:rsidP="0039184B" w:rsidRDefault="00162E2E" w14:paraId="4C10CEB6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162E2E" w:rsidP="00886903" w:rsidRDefault="00DB3026" w14:paraId="6669697E" w14:textId="371C7AF8">
      <w:pPr>
        <w:pStyle w:val="Heading1"/>
        <w:rPr>
          <w:lang w:val="en-GB"/>
        </w:rPr>
      </w:pPr>
      <w:r w:rsidRPr="00EE2DA8">
        <w:rPr>
          <w:lang w:val="en-GB"/>
        </w:rPr>
        <w:t>Calls on the Commission to review the Governance of the Energy Union regulation</w:t>
      </w:r>
      <w:r w:rsidRPr="00EE2DA8" w:rsidR="00F66731">
        <w:rPr>
          <w:lang w:val="en-GB"/>
        </w:rPr>
        <w:t>,</w:t>
      </w:r>
      <w:r w:rsidRPr="00EE2DA8">
        <w:rPr>
          <w:lang w:val="en-GB"/>
        </w:rPr>
        <w:t xml:space="preserve"> with a view to making it fit for the implementation of the Green Deal</w:t>
      </w:r>
      <w:r w:rsidRPr="00EE2DA8" w:rsidR="009B506E">
        <w:rPr>
          <w:lang w:val="en-GB"/>
        </w:rPr>
        <w:t>, strengthening the integration of subnational contributions in national plans and</w:t>
      </w:r>
      <w:r w:rsidRPr="00EE2DA8" w:rsidR="00733C73">
        <w:rPr>
          <w:lang w:val="en-GB"/>
        </w:rPr>
        <w:t xml:space="preserve"> </w:t>
      </w:r>
      <w:r w:rsidRPr="00EE2DA8" w:rsidR="007A0F2C">
        <w:rPr>
          <w:lang w:val="en-GB"/>
        </w:rPr>
        <w:t>aligning the</w:t>
      </w:r>
      <w:r w:rsidRPr="00EE2DA8" w:rsidR="00733C73">
        <w:rPr>
          <w:lang w:val="en-GB"/>
        </w:rPr>
        <w:t xml:space="preserve"> </w:t>
      </w:r>
      <w:r w:rsidRPr="00EE2DA8" w:rsidR="00E641D9">
        <w:rPr>
          <w:lang w:val="en-GB"/>
        </w:rPr>
        <w:t>National Energy and Climate Plans (</w:t>
      </w:r>
      <w:r w:rsidRPr="00EE2DA8" w:rsidR="00733C73">
        <w:rPr>
          <w:lang w:val="en-GB"/>
        </w:rPr>
        <w:t>NECPs</w:t>
      </w:r>
      <w:r w:rsidRPr="00EE2DA8" w:rsidR="00E641D9">
        <w:rPr>
          <w:lang w:val="en-GB"/>
        </w:rPr>
        <w:t>)</w:t>
      </w:r>
      <w:r w:rsidRPr="00EE2DA8" w:rsidR="00733C73">
        <w:rPr>
          <w:lang w:val="en-GB"/>
        </w:rPr>
        <w:t xml:space="preserve"> </w:t>
      </w:r>
      <w:r w:rsidRPr="00EE2DA8" w:rsidR="007A0F2C">
        <w:rPr>
          <w:lang w:val="en-GB"/>
        </w:rPr>
        <w:t xml:space="preserve">with the national plans </w:t>
      </w:r>
      <w:r w:rsidRPr="00EE2DA8" w:rsidR="00D92D97">
        <w:rPr>
          <w:lang w:val="en-GB"/>
        </w:rPr>
        <w:t xml:space="preserve">to </w:t>
      </w:r>
      <w:r w:rsidRPr="00EE2DA8" w:rsidR="007A0F2C">
        <w:rPr>
          <w:lang w:val="en-GB"/>
        </w:rPr>
        <w:t xml:space="preserve">implement the UN 2030 agenda and the SDGs framework; proposes a framework for subnational action to be formally taken into account in the UNFCCC framework and the </w:t>
      </w:r>
      <w:r w:rsidRPr="00EE2DA8" w:rsidR="00D92D97">
        <w:rPr>
          <w:lang w:val="en-GB"/>
        </w:rPr>
        <w:t xml:space="preserve">ensuing </w:t>
      </w:r>
      <w:r w:rsidRPr="00EE2DA8" w:rsidR="007A0F2C">
        <w:rPr>
          <w:lang w:val="en-GB"/>
        </w:rPr>
        <w:t>EU climate governance</w:t>
      </w:r>
      <w:r w:rsidRPr="00EE2DA8">
        <w:rPr>
          <w:lang w:val="en-GB"/>
        </w:rPr>
        <w:t>;</w:t>
      </w:r>
      <w:r w:rsidRPr="00EE2DA8" w:rsidR="00D039A5">
        <w:rPr>
          <w:lang w:val="en-GB"/>
        </w:rPr>
        <w:t xml:space="preserve"> </w:t>
      </w:r>
    </w:p>
    <w:p w:rsidRPr="00EE2DA8" w:rsidR="007B0357" w:rsidP="0039184B" w:rsidRDefault="007B0357" w14:paraId="58D1737B" w14:textId="77777777">
      <w:pPr>
        <w:rPr>
          <w:lang w:val="en-GB"/>
        </w:rPr>
      </w:pPr>
    </w:p>
    <w:p w:rsidRPr="00EE2DA8" w:rsidR="00162E2E" w:rsidP="00886903" w:rsidRDefault="009977F9" w14:paraId="560BDB1D" w14:textId="5AA65C13">
      <w:pPr>
        <w:pStyle w:val="Heading1"/>
        <w:rPr>
          <w:lang w:val="en-GB"/>
        </w:rPr>
      </w:pPr>
      <w:r w:rsidRPr="00EE2DA8">
        <w:rPr>
          <w:lang w:val="en-GB"/>
        </w:rPr>
        <w:t xml:space="preserve">Expects the Commission to start mainstreaming the gender dimension into its policy processes: in the Green Deal, in the NRRPs and in the Partnership Agreements under the EU structural and investment funds, </w:t>
      </w:r>
      <w:r w:rsidRPr="00EE2DA8" w:rsidR="00B63DB5">
        <w:rPr>
          <w:lang w:val="en-GB"/>
        </w:rPr>
        <w:t xml:space="preserve">notably </w:t>
      </w:r>
      <w:r w:rsidRPr="00EE2DA8">
        <w:rPr>
          <w:lang w:val="en-GB"/>
        </w:rPr>
        <w:t>by putting</w:t>
      </w:r>
      <w:r w:rsidRPr="00EE2DA8" w:rsidR="00B63DB5">
        <w:rPr>
          <w:lang w:val="en-GB"/>
        </w:rPr>
        <w:t xml:space="preserve"> </w:t>
      </w:r>
      <w:r w:rsidRPr="00EE2DA8">
        <w:rPr>
          <w:lang w:val="en-GB"/>
        </w:rPr>
        <w:t>forward</w:t>
      </w:r>
      <w:r w:rsidRPr="00EE2DA8" w:rsidR="00FD3CA2">
        <w:rPr>
          <w:lang w:val="en-GB"/>
        </w:rPr>
        <w:t>,</w:t>
      </w:r>
      <w:r w:rsidRPr="00EE2DA8">
        <w:rPr>
          <w:lang w:val="en-GB"/>
        </w:rPr>
        <w:t xml:space="preserve"> in line with Article 16(f) of the Interinstitutional Agreement (IIA) and no later than 1 January 2023</w:t>
      </w:r>
      <w:r w:rsidRPr="00EE2DA8" w:rsidR="00FD3CA2">
        <w:rPr>
          <w:lang w:val="en-GB"/>
        </w:rPr>
        <w:t>,</w:t>
      </w:r>
      <w:r w:rsidRPr="00EE2DA8">
        <w:rPr>
          <w:lang w:val="en-GB"/>
        </w:rPr>
        <w:t xml:space="preserve"> a methodology assessing the gender impact of EU programmes;</w:t>
      </w:r>
    </w:p>
    <w:p w:rsidRPr="00EE2DA8" w:rsidR="00162E2E" w:rsidP="0039184B" w:rsidRDefault="00162E2E" w14:paraId="33A48776" w14:textId="77777777">
      <w:pPr>
        <w:rPr>
          <w:lang w:val="en-GB"/>
        </w:rPr>
      </w:pPr>
    </w:p>
    <w:p w:rsidRPr="00EE2DA8" w:rsidR="00162E2E" w:rsidP="00886903" w:rsidRDefault="00DB3026" w14:paraId="24229888" w14:textId="6ABE638F">
      <w:pPr>
        <w:pStyle w:val="Heading1"/>
        <w:rPr>
          <w:lang w:val="en-GB"/>
        </w:rPr>
      </w:pPr>
      <w:r w:rsidRPr="00EE2DA8">
        <w:rPr>
          <w:lang w:val="en-GB"/>
        </w:rPr>
        <w:t xml:space="preserve">Calls on the Commission to </w:t>
      </w:r>
      <w:r w:rsidRPr="00EE2DA8" w:rsidR="00D039A5">
        <w:rPr>
          <w:lang w:val="en-GB"/>
        </w:rPr>
        <w:t xml:space="preserve">open a structured </w:t>
      </w:r>
      <w:r w:rsidRPr="00EE2DA8" w:rsidR="006B3087">
        <w:rPr>
          <w:lang w:val="en-GB"/>
        </w:rPr>
        <w:t>dialogue</w:t>
      </w:r>
      <w:r w:rsidRPr="00EE2DA8" w:rsidR="00D039A5">
        <w:rPr>
          <w:lang w:val="en-GB"/>
        </w:rPr>
        <w:t xml:space="preserve"> with LRAs on the </w:t>
      </w:r>
      <w:r w:rsidRPr="00EE2DA8" w:rsidR="00431EB8">
        <w:rPr>
          <w:lang w:val="en-GB"/>
        </w:rPr>
        <w:t xml:space="preserve">design and </w:t>
      </w:r>
      <w:r w:rsidRPr="00EE2DA8" w:rsidR="00733C73">
        <w:rPr>
          <w:lang w:val="en-GB"/>
        </w:rPr>
        <w:t>implementation</w:t>
      </w:r>
      <w:r w:rsidRPr="00EE2DA8" w:rsidR="00D039A5">
        <w:rPr>
          <w:lang w:val="en-GB"/>
        </w:rPr>
        <w:t xml:space="preserve"> of the </w:t>
      </w:r>
      <w:r w:rsidRPr="00EE2DA8" w:rsidR="005F21C7">
        <w:rPr>
          <w:lang w:val="en-GB"/>
        </w:rPr>
        <w:t>"</w:t>
      </w:r>
      <w:r w:rsidRPr="00EE2DA8" w:rsidR="00D039A5">
        <w:rPr>
          <w:lang w:val="en-GB"/>
        </w:rPr>
        <w:t>Fit for 55</w:t>
      </w:r>
      <w:r w:rsidRPr="00EE2DA8" w:rsidR="005F21C7">
        <w:rPr>
          <w:lang w:val="en-GB"/>
        </w:rPr>
        <w:t>"</w:t>
      </w:r>
      <w:r w:rsidRPr="00EE2DA8" w:rsidR="00D039A5">
        <w:rPr>
          <w:lang w:val="en-GB"/>
        </w:rPr>
        <w:t xml:space="preserve"> package</w:t>
      </w:r>
      <w:r w:rsidRPr="00EE2DA8">
        <w:rPr>
          <w:lang w:val="en-GB"/>
        </w:rPr>
        <w:t>;</w:t>
      </w:r>
    </w:p>
    <w:p w:rsidRPr="00EE2DA8" w:rsidR="00162E2E" w:rsidP="0039184B" w:rsidRDefault="00162E2E" w14:paraId="3180A0C8" w14:textId="77777777">
      <w:pPr>
        <w:rPr>
          <w:lang w:val="en-GB"/>
        </w:rPr>
      </w:pPr>
    </w:p>
    <w:p w:rsidRPr="00EE2DA8" w:rsidR="00162E2E" w:rsidP="00886903" w:rsidRDefault="006B3087" w14:paraId="6FD8562E" w14:textId="37B7616A">
      <w:pPr>
        <w:pStyle w:val="Heading1"/>
        <w:rPr>
          <w:lang w:val="en-GB"/>
        </w:rPr>
      </w:pPr>
      <w:r w:rsidRPr="00EE2DA8">
        <w:rPr>
          <w:lang w:val="en-GB"/>
        </w:rPr>
        <w:t>S</w:t>
      </w:r>
      <w:r w:rsidRPr="00EE2DA8" w:rsidR="00C005AF">
        <w:rPr>
          <w:lang w:val="en-GB"/>
        </w:rPr>
        <w:t xml:space="preserve">upports the targets put forward by the Farm to Fork strategy, which remain to be transposed into </w:t>
      </w:r>
      <w:r w:rsidRPr="00EE2DA8">
        <w:rPr>
          <w:lang w:val="en-GB"/>
        </w:rPr>
        <w:t xml:space="preserve">the </w:t>
      </w:r>
      <w:r w:rsidRPr="00EE2DA8" w:rsidR="00C005AF">
        <w:rPr>
          <w:lang w:val="en-GB"/>
        </w:rPr>
        <w:t xml:space="preserve">legislation of the </w:t>
      </w:r>
      <w:r w:rsidRPr="00EE2DA8" w:rsidR="005C7D86">
        <w:rPr>
          <w:lang w:val="en-GB"/>
        </w:rPr>
        <w:t>common agricultural policy</w:t>
      </w:r>
      <w:r w:rsidRPr="00EE2DA8" w:rsidR="00C005AF">
        <w:rPr>
          <w:lang w:val="en-GB"/>
        </w:rPr>
        <w:t xml:space="preserve">. Also calls on the Commission to put forward schemes for </w:t>
      </w:r>
      <w:r w:rsidRPr="00EE2DA8">
        <w:rPr>
          <w:lang w:val="en-GB"/>
        </w:rPr>
        <w:t xml:space="preserve">fair </w:t>
      </w:r>
      <w:r w:rsidRPr="00EE2DA8" w:rsidR="00C005AF">
        <w:rPr>
          <w:lang w:val="en-GB"/>
        </w:rPr>
        <w:t>nutritional labelling</w:t>
      </w:r>
      <w:r w:rsidRPr="00EE2DA8" w:rsidR="005C7D86">
        <w:rPr>
          <w:lang w:val="en-GB"/>
        </w:rPr>
        <w:t>,</w:t>
      </w:r>
      <w:r w:rsidRPr="00EE2DA8" w:rsidR="00C005AF">
        <w:rPr>
          <w:lang w:val="en-GB"/>
        </w:rPr>
        <w:t xml:space="preserve"> as well as labels for the origin and methods of production of animal products;</w:t>
      </w:r>
    </w:p>
    <w:p w:rsidRPr="00EE2DA8" w:rsidR="00162E2E" w:rsidP="0039184B" w:rsidRDefault="00162E2E" w14:paraId="13374F40" w14:textId="77777777">
      <w:pPr>
        <w:rPr>
          <w:lang w:val="en-GB"/>
        </w:rPr>
      </w:pPr>
    </w:p>
    <w:p w:rsidRPr="00EE2DA8" w:rsidR="00DB3026" w:rsidP="00886903" w:rsidRDefault="009E026B" w14:paraId="42BB5A19" w14:textId="38A87598">
      <w:pPr>
        <w:pStyle w:val="Heading1"/>
        <w:rPr>
          <w:lang w:val="en-GB"/>
        </w:rPr>
      </w:pPr>
      <w:r w:rsidRPr="00EE2DA8">
        <w:rPr>
          <w:lang w:val="en-GB"/>
        </w:rPr>
        <w:t>Calls on the European Commission to ensure that</w:t>
      </w:r>
      <w:r w:rsidRPr="00EE2DA8" w:rsidR="006B3087">
        <w:rPr>
          <w:lang w:val="en-GB"/>
        </w:rPr>
        <w:t xml:space="preserve"> the</w:t>
      </w:r>
      <w:r w:rsidRPr="00EE2DA8">
        <w:rPr>
          <w:lang w:val="en-GB"/>
        </w:rPr>
        <w:t xml:space="preserve"> European Rural Agenda </w:t>
      </w:r>
      <w:r w:rsidRPr="00EE2DA8" w:rsidR="003E750E">
        <w:rPr>
          <w:lang w:val="en-GB"/>
        </w:rPr>
        <w:t xml:space="preserve">is implemented across all policies and </w:t>
      </w:r>
      <w:r w:rsidRPr="00EE2DA8">
        <w:rPr>
          <w:lang w:val="en-GB"/>
        </w:rPr>
        <w:t xml:space="preserve">has ambitious and concrete political objectives to strengthen the innovative dynamics of rural territories, organise </w:t>
      </w:r>
      <w:r w:rsidRPr="00EE2DA8" w:rsidR="005C7D86">
        <w:rPr>
          <w:lang w:val="en-GB"/>
        </w:rPr>
        <w:t xml:space="preserve">smart </w:t>
      </w:r>
      <w:r w:rsidRPr="00EE2DA8">
        <w:rPr>
          <w:lang w:val="en-GB"/>
        </w:rPr>
        <w:t>inter-territorial</w:t>
      </w:r>
      <w:r w:rsidRPr="00EE2DA8" w:rsidR="006B3087">
        <w:rPr>
          <w:lang w:val="en-GB"/>
        </w:rPr>
        <w:t xml:space="preserve"> </w:t>
      </w:r>
      <w:r w:rsidRPr="00EE2DA8">
        <w:rPr>
          <w:lang w:val="en-GB"/>
        </w:rPr>
        <w:t>cooperation, and stimulate citizen</w:t>
      </w:r>
      <w:r w:rsidRPr="00EE2DA8" w:rsidR="005C7D86">
        <w:rPr>
          <w:lang w:val="en-GB"/>
        </w:rPr>
        <w:t xml:space="preserve"> action</w:t>
      </w:r>
      <w:r w:rsidRPr="00EE2DA8">
        <w:rPr>
          <w:lang w:val="en-GB"/>
        </w:rPr>
        <w:t xml:space="preserve"> in local development strategies</w:t>
      </w:r>
      <w:r w:rsidRPr="00EE2DA8" w:rsidR="003C4194">
        <w:rPr>
          <w:lang w:val="en-GB"/>
        </w:rPr>
        <w:t>;</w:t>
      </w:r>
      <w:r w:rsidRPr="00EE2DA8" w:rsidR="00A27276">
        <w:rPr>
          <w:lang w:val="en-GB"/>
        </w:rPr>
        <w:t xml:space="preserve"> </w:t>
      </w:r>
    </w:p>
    <w:p w:rsidRPr="00EE2DA8" w:rsidR="00CD0FA1" w:rsidP="00CD0FA1" w:rsidRDefault="00CD0FA1" w14:paraId="2A1F54F2" w14:textId="5F42276F">
      <w:pPr>
        <w:rPr>
          <w:lang w:val="en-GB"/>
        </w:rPr>
      </w:pPr>
    </w:p>
    <w:p w:rsidRPr="00EE2DA8" w:rsidR="00CD0FA1" w:rsidP="00A574FF" w:rsidRDefault="00016480" w14:paraId="25BE3CDB" w14:textId="501E1293">
      <w:pPr>
        <w:keepNext/>
        <w:rPr>
          <w:i/>
          <w:lang w:val="en-GB"/>
        </w:rPr>
      </w:pPr>
      <w:r w:rsidRPr="00EE2DA8">
        <w:rPr>
          <w:i/>
          <w:lang w:val="en-GB"/>
        </w:rPr>
        <w:t>Digital transition</w:t>
      </w:r>
      <w:r w:rsidRPr="00EE2DA8" w:rsidR="00CD0FA1">
        <w:rPr>
          <w:i/>
          <w:lang w:val="en-GB"/>
        </w:rPr>
        <w:t xml:space="preserve"> and Industry </w:t>
      </w:r>
    </w:p>
    <w:p w:rsidRPr="00EE2DA8" w:rsidR="00BB6FFB" w:rsidP="00A574FF" w:rsidRDefault="00BB6FFB" w14:paraId="287C4561" w14:textId="1888E4C0">
      <w:pPr>
        <w:keepNext/>
        <w:suppressAutoHyphens/>
        <w:rPr>
          <w:u w:val="single"/>
          <w:lang w:val="en-GB"/>
        </w:rPr>
      </w:pPr>
    </w:p>
    <w:p w:rsidRPr="00EE2DA8" w:rsidR="00A44EB8" w:rsidP="00A574FF" w:rsidRDefault="00A3346D" w14:paraId="589E95CE" w14:textId="679F5EB4">
      <w:pPr>
        <w:pStyle w:val="Heading1"/>
        <w:keepNext/>
        <w:rPr>
          <w:lang w:val="en-GB"/>
        </w:rPr>
      </w:pPr>
      <w:r w:rsidRPr="00EE2DA8">
        <w:rPr>
          <w:lang w:val="en-GB"/>
        </w:rPr>
        <w:t>C</w:t>
      </w:r>
      <w:r w:rsidRPr="00EE2DA8" w:rsidR="00BB6FFB">
        <w:rPr>
          <w:lang w:val="en-GB"/>
        </w:rPr>
        <w:t xml:space="preserve">alls on the Commission to </w:t>
      </w:r>
      <w:r w:rsidRPr="00EE2DA8" w:rsidR="008C20CF">
        <w:rPr>
          <w:lang w:val="en-GB"/>
        </w:rPr>
        <w:t xml:space="preserve">integrate </w:t>
      </w:r>
      <w:r w:rsidRPr="00EE2DA8" w:rsidR="00BB6FFB">
        <w:rPr>
          <w:lang w:val="en-GB"/>
        </w:rPr>
        <w:t xml:space="preserve">digital cohesion as </w:t>
      </w:r>
      <w:r w:rsidRPr="00EE2DA8" w:rsidR="00EA631A">
        <w:rPr>
          <w:lang w:val="en-GB"/>
        </w:rPr>
        <w:t xml:space="preserve">a </w:t>
      </w:r>
      <w:r w:rsidRPr="00EE2DA8" w:rsidR="0044479C">
        <w:rPr>
          <w:lang w:val="en-GB"/>
        </w:rPr>
        <w:t xml:space="preserve">complementary </w:t>
      </w:r>
      <w:r w:rsidRPr="00EE2DA8" w:rsidR="00BB6FFB">
        <w:rPr>
          <w:lang w:val="en-GB"/>
        </w:rPr>
        <w:t xml:space="preserve">dimension </w:t>
      </w:r>
      <w:r w:rsidRPr="00EE2DA8" w:rsidR="00431EB8">
        <w:rPr>
          <w:lang w:val="en-GB"/>
        </w:rPr>
        <w:t>to the</w:t>
      </w:r>
      <w:r w:rsidRPr="00EE2DA8" w:rsidR="00BB6FFB">
        <w:rPr>
          <w:lang w:val="en-GB"/>
        </w:rPr>
        <w:t xml:space="preserve"> economic, social and territorial cohesion</w:t>
      </w:r>
      <w:r w:rsidRPr="00EE2DA8" w:rsidR="00431EB8">
        <w:rPr>
          <w:lang w:val="en-GB"/>
        </w:rPr>
        <w:t xml:space="preserve"> concept</w:t>
      </w:r>
      <w:r w:rsidRPr="00EE2DA8" w:rsidR="008C20CF">
        <w:rPr>
          <w:lang w:val="en-GB"/>
        </w:rPr>
        <w:t xml:space="preserve"> and thereby</w:t>
      </w:r>
      <w:r w:rsidRPr="00EE2DA8" w:rsidR="009C4D3D">
        <w:rPr>
          <w:lang w:val="en-GB"/>
        </w:rPr>
        <w:t xml:space="preserve"> prevent</w:t>
      </w:r>
      <w:r w:rsidRPr="00EE2DA8" w:rsidR="00BB6FFB">
        <w:rPr>
          <w:lang w:val="en-GB"/>
        </w:rPr>
        <w:t xml:space="preserve"> </w:t>
      </w:r>
      <w:r w:rsidRPr="00EE2DA8" w:rsidR="00B10C10">
        <w:rPr>
          <w:lang w:val="en-GB"/>
        </w:rPr>
        <w:t xml:space="preserve">a </w:t>
      </w:r>
      <w:r w:rsidRPr="00EE2DA8" w:rsidR="005F21C7">
        <w:rPr>
          <w:lang w:val="en-GB"/>
        </w:rPr>
        <w:t>"</w:t>
      </w:r>
      <w:r w:rsidRPr="00EE2DA8" w:rsidR="00BB6FFB">
        <w:rPr>
          <w:lang w:val="en-GB"/>
        </w:rPr>
        <w:t>double digital divide</w:t>
      </w:r>
      <w:r w:rsidRPr="00EE2DA8" w:rsidR="005F21C7">
        <w:rPr>
          <w:lang w:val="en-GB"/>
        </w:rPr>
        <w:t>"</w:t>
      </w:r>
      <w:r w:rsidRPr="00EE2DA8" w:rsidR="00BB6FFB">
        <w:rPr>
          <w:lang w:val="en-GB"/>
        </w:rPr>
        <w:t xml:space="preserve"> </w:t>
      </w:r>
      <w:r w:rsidRPr="00EE2DA8" w:rsidR="00431EB8">
        <w:rPr>
          <w:lang w:val="en-GB"/>
        </w:rPr>
        <w:t>caused by</w:t>
      </w:r>
      <w:r w:rsidRPr="00EE2DA8" w:rsidR="009C4D3D">
        <w:rPr>
          <w:lang w:val="en-GB"/>
        </w:rPr>
        <w:t xml:space="preserve"> a lack of infrastructure</w:t>
      </w:r>
      <w:r w:rsidRPr="00EE2DA8" w:rsidR="00370E90">
        <w:rPr>
          <w:lang w:val="en-GB"/>
        </w:rPr>
        <w:t>,</w:t>
      </w:r>
      <w:r w:rsidRPr="00EE2DA8" w:rsidR="00BB6FFB">
        <w:rPr>
          <w:lang w:val="en-GB"/>
        </w:rPr>
        <w:t xml:space="preserve"> IT literacy and skills</w:t>
      </w:r>
      <w:r w:rsidRPr="00EE2DA8" w:rsidR="000C188A">
        <w:rPr>
          <w:lang w:val="en-GB"/>
        </w:rPr>
        <w:t xml:space="preserve">; </w:t>
      </w:r>
    </w:p>
    <w:p w:rsidRPr="00A574FF" w:rsidR="00BB6FFB" w:rsidP="00402160" w:rsidRDefault="00BB6FFB" w14:paraId="56E5EEBB" w14:textId="77777777">
      <w:pPr>
        <w:rPr>
          <w:lang w:val="en-GB"/>
        </w:rPr>
      </w:pPr>
    </w:p>
    <w:p w:rsidRPr="00EE2DA8" w:rsidR="00522CD3" w:rsidP="00886903" w:rsidRDefault="00A44EB8" w14:paraId="58AC3B23" w14:textId="5CBDB227">
      <w:pPr>
        <w:pStyle w:val="Heading1"/>
        <w:rPr>
          <w:lang w:val="en-GB"/>
        </w:rPr>
      </w:pPr>
      <w:r w:rsidRPr="00EE2DA8">
        <w:rPr>
          <w:lang w:val="en-GB"/>
        </w:rPr>
        <w:t xml:space="preserve">Asks the Commission to take into account regional and local differences and </w:t>
      </w:r>
      <w:r w:rsidRPr="00EE2DA8" w:rsidR="00B10C10">
        <w:rPr>
          <w:lang w:val="en-GB"/>
        </w:rPr>
        <w:t xml:space="preserve">related </w:t>
      </w:r>
      <w:r w:rsidRPr="00EE2DA8">
        <w:rPr>
          <w:lang w:val="en-GB"/>
        </w:rPr>
        <w:t>indicators in the eGovernment benchmarking report</w:t>
      </w:r>
      <w:r w:rsidRPr="00EE2DA8" w:rsidR="00E81D1A">
        <w:rPr>
          <w:lang w:val="en-GB"/>
        </w:rPr>
        <w:t>,</w:t>
      </w:r>
      <w:r w:rsidRPr="00EE2DA8">
        <w:rPr>
          <w:lang w:val="en-GB"/>
        </w:rPr>
        <w:t xml:space="preserve"> as the urban-rural divide in terms of </w:t>
      </w:r>
      <w:r w:rsidRPr="00EE2DA8" w:rsidR="009C4D3D">
        <w:rPr>
          <w:lang w:val="en-GB"/>
        </w:rPr>
        <w:t xml:space="preserve">the </w:t>
      </w:r>
      <w:r w:rsidRPr="00EE2DA8">
        <w:rPr>
          <w:lang w:val="en-GB"/>
        </w:rPr>
        <w:t xml:space="preserve">use of </w:t>
      </w:r>
      <w:r w:rsidRPr="00EE2DA8" w:rsidR="00E81D1A">
        <w:rPr>
          <w:lang w:val="en-GB"/>
        </w:rPr>
        <w:br/>
      </w:r>
      <w:r w:rsidRPr="00EE2DA8">
        <w:rPr>
          <w:lang w:val="en-GB"/>
        </w:rPr>
        <w:t>e-government services is widening</w:t>
      </w:r>
      <w:r w:rsidRPr="00EE2DA8" w:rsidR="00B60897">
        <w:rPr>
          <w:lang w:val="en-GB"/>
        </w:rPr>
        <w:t>;</w:t>
      </w:r>
    </w:p>
    <w:p w:rsidRPr="00EE2DA8" w:rsidR="00522CD3" w:rsidP="00402160" w:rsidRDefault="00522CD3" w14:paraId="62659F3B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522CD3" w:rsidP="00886903" w:rsidRDefault="00D71A30" w14:paraId="03291540" w14:textId="2FA99A8A">
      <w:pPr>
        <w:pStyle w:val="Heading1"/>
        <w:rPr>
          <w:lang w:val="en-GB"/>
        </w:rPr>
      </w:pPr>
      <w:r w:rsidRPr="00EE2DA8">
        <w:rPr>
          <w:lang w:val="en-GB"/>
        </w:rPr>
        <w:t>C</w:t>
      </w:r>
      <w:r w:rsidRPr="00EE2DA8" w:rsidR="00144D88">
        <w:rPr>
          <w:lang w:val="en-GB"/>
        </w:rPr>
        <w:t>all</w:t>
      </w:r>
      <w:r w:rsidRPr="00EE2DA8" w:rsidR="00577C4A">
        <w:rPr>
          <w:lang w:val="en-GB"/>
        </w:rPr>
        <w:t>s</w:t>
      </w:r>
      <w:r w:rsidRPr="00EE2DA8" w:rsidR="00144D88">
        <w:rPr>
          <w:lang w:val="en-GB"/>
        </w:rPr>
        <w:t xml:space="preserve"> on the Commission to </w:t>
      </w:r>
      <w:r w:rsidRPr="00EE2DA8" w:rsidR="009F0601">
        <w:rPr>
          <w:lang w:val="en-GB"/>
        </w:rPr>
        <w:t xml:space="preserve">provide for </w:t>
      </w:r>
      <w:r w:rsidRPr="00EE2DA8" w:rsidR="00577C4A">
        <w:rPr>
          <w:lang w:val="en-GB"/>
        </w:rPr>
        <w:t xml:space="preserve">a structured dialogue with Europe's cities and regions </w:t>
      </w:r>
      <w:r w:rsidRPr="00EE2DA8" w:rsidR="001A1A32">
        <w:rPr>
          <w:lang w:val="en-GB"/>
        </w:rPr>
        <w:t xml:space="preserve">on </w:t>
      </w:r>
      <w:r w:rsidRPr="00EE2DA8" w:rsidR="00577C4A">
        <w:rPr>
          <w:lang w:val="en-GB"/>
        </w:rPr>
        <w:t xml:space="preserve">how to strengthen </w:t>
      </w:r>
      <w:r w:rsidRPr="00EE2DA8" w:rsidR="00144D88">
        <w:rPr>
          <w:lang w:val="en-GB"/>
        </w:rPr>
        <w:t xml:space="preserve">regional </w:t>
      </w:r>
      <w:r w:rsidRPr="00EE2DA8" w:rsidR="00577C4A">
        <w:rPr>
          <w:lang w:val="en-GB"/>
        </w:rPr>
        <w:t xml:space="preserve">industrial </w:t>
      </w:r>
      <w:r w:rsidRPr="00EE2DA8" w:rsidR="00144D88">
        <w:rPr>
          <w:lang w:val="en-GB"/>
        </w:rPr>
        <w:t xml:space="preserve">ecosystems, clusters and </w:t>
      </w:r>
      <w:r w:rsidRPr="00EE2DA8" w:rsidR="00A630D1">
        <w:rPr>
          <w:lang w:val="en-GB"/>
        </w:rPr>
        <w:t xml:space="preserve">interregional </w:t>
      </w:r>
      <w:r w:rsidRPr="00EE2DA8" w:rsidR="00144D88">
        <w:rPr>
          <w:lang w:val="en-GB"/>
        </w:rPr>
        <w:t xml:space="preserve">alliances </w:t>
      </w:r>
      <w:r w:rsidRPr="00EE2DA8" w:rsidR="00577C4A">
        <w:rPr>
          <w:lang w:val="en-GB"/>
        </w:rPr>
        <w:t>during the implementation of the</w:t>
      </w:r>
      <w:r w:rsidRPr="00EE2DA8" w:rsidR="00144D88">
        <w:rPr>
          <w:lang w:val="en-GB"/>
        </w:rPr>
        <w:t xml:space="preserve"> </w:t>
      </w:r>
      <w:r w:rsidRPr="00EE2DA8" w:rsidR="00370E90">
        <w:rPr>
          <w:lang w:val="en-GB"/>
        </w:rPr>
        <w:t>i</w:t>
      </w:r>
      <w:r w:rsidRPr="00EE2DA8" w:rsidR="00144D88">
        <w:rPr>
          <w:lang w:val="en-GB"/>
        </w:rPr>
        <w:t>ndustrial strategy</w:t>
      </w:r>
      <w:r w:rsidRPr="00EE2DA8" w:rsidR="009F0601">
        <w:rPr>
          <w:lang w:val="en-GB"/>
        </w:rPr>
        <w:t>,</w:t>
      </w:r>
      <w:r w:rsidRPr="00EE2DA8">
        <w:rPr>
          <w:lang w:val="en-GB"/>
        </w:rPr>
        <w:t xml:space="preserve"> as the</w:t>
      </w:r>
      <w:r w:rsidRPr="00EE2DA8" w:rsidR="003618DF">
        <w:rPr>
          <w:lang w:val="en-GB"/>
        </w:rPr>
        <w:t xml:space="preserve"> </w:t>
      </w:r>
      <w:r w:rsidRPr="00EE2DA8">
        <w:rPr>
          <w:lang w:val="en-GB"/>
        </w:rPr>
        <w:t xml:space="preserve">place-based approach is largely missing in the Communication on </w:t>
      </w:r>
      <w:r w:rsidRPr="00EE2DA8" w:rsidR="00D3319D">
        <w:rPr>
          <w:lang w:val="en-GB"/>
        </w:rPr>
        <w:t>"</w:t>
      </w:r>
      <w:r w:rsidRPr="00EE2DA8">
        <w:rPr>
          <w:lang w:val="en-GB"/>
        </w:rPr>
        <w:t>Updating the 2020 Industrial Strategy</w:t>
      </w:r>
      <w:r w:rsidRPr="00EE2DA8" w:rsidR="00D3319D">
        <w:rPr>
          <w:lang w:val="en-GB"/>
        </w:rPr>
        <w:t>"</w:t>
      </w:r>
      <w:r w:rsidRPr="00EE2DA8" w:rsidR="00144D88">
        <w:rPr>
          <w:lang w:val="en-GB"/>
        </w:rPr>
        <w:t>;</w:t>
      </w:r>
    </w:p>
    <w:p w:rsidRPr="00EE2DA8" w:rsidR="001A1A32" w:rsidP="00CA6675" w:rsidRDefault="001A1A32" w14:paraId="1988817C" w14:textId="3C320AFC">
      <w:pPr>
        <w:rPr>
          <w:lang w:val="en-GB"/>
        </w:rPr>
      </w:pPr>
    </w:p>
    <w:p w:rsidRPr="00EE2DA8" w:rsidR="00CD0FA1" w:rsidP="00A574FF" w:rsidRDefault="00CD0FA1" w14:paraId="66DC4993" w14:textId="37954F5B">
      <w:pPr>
        <w:keepNext/>
        <w:rPr>
          <w:i/>
          <w:lang w:val="en-GB"/>
        </w:rPr>
      </w:pPr>
      <w:r w:rsidRPr="00EE2DA8">
        <w:rPr>
          <w:i/>
          <w:lang w:val="en-GB"/>
        </w:rPr>
        <w:t>Cross-border cooperation and Mobility</w:t>
      </w:r>
    </w:p>
    <w:p w:rsidRPr="00EE2DA8" w:rsidR="00CD0FA1" w:rsidP="00A574FF" w:rsidRDefault="00CD0FA1" w14:paraId="2BAD8E1F" w14:textId="77777777">
      <w:pPr>
        <w:keepNext/>
        <w:rPr>
          <w:lang w:val="en-GB"/>
        </w:rPr>
      </w:pPr>
    </w:p>
    <w:p w:rsidRPr="00EE2DA8" w:rsidR="00907F0D" w:rsidP="00A574FF" w:rsidRDefault="00E8425A" w14:paraId="3D19C392" w14:textId="329D8BA4">
      <w:pPr>
        <w:pStyle w:val="Heading1"/>
        <w:keepNext/>
        <w:rPr>
          <w:lang w:val="en-GB"/>
        </w:rPr>
      </w:pPr>
      <w:r w:rsidRPr="00EE2DA8">
        <w:rPr>
          <w:lang w:val="en-GB"/>
        </w:rPr>
        <w:t xml:space="preserve">Welcomes the Commission's commitment to come up with a Single Market Emergency Instrument and </w:t>
      </w:r>
      <w:r w:rsidRPr="00EE2DA8" w:rsidR="009F0601">
        <w:rPr>
          <w:lang w:val="en-GB"/>
        </w:rPr>
        <w:t xml:space="preserve">calls </w:t>
      </w:r>
      <w:r w:rsidRPr="00EE2DA8">
        <w:rPr>
          <w:lang w:val="en-GB"/>
        </w:rPr>
        <w:t xml:space="preserve">for </w:t>
      </w:r>
      <w:r w:rsidRPr="00EE2DA8" w:rsidR="009C4D3D">
        <w:rPr>
          <w:lang w:val="en-GB"/>
        </w:rPr>
        <w:t>the creation of legislation that ensures</w:t>
      </w:r>
      <w:r w:rsidRPr="00EE2DA8" w:rsidR="000B0F9D">
        <w:rPr>
          <w:lang w:val="en-GB"/>
        </w:rPr>
        <w:t xml:space="preserve"> minimum </w:t>
      </w:r>
      <w:r w:rsidRPr="00EE2DA8" w:rsidR="009F0601">
        <w:rPr>
          <w:lang w:val="en-GB"/>
        </w:rPr>
        <w:t xml:space="preserve">European </w:t>
      </w:r>
      <w:r w:rsidRPr="00EE2DA8" w:rsidR="000B0F9D">
        <w:rPr>
          <w:lang w:val="en-GB"/>
        </w:rPr>
        <w:t>standards and procedures guaranteeing open internal borders, also during crises;</w:t>
      </w:r>
    </w:p>
    <w:p w:rsidRPr="00EE2DA8" w:rsidR="004B71CD" w:rsidP="00E8197E" w:rsidRDefault="004B71CD" w14:paraId="00500626" w14:textId="77777777">
      <w:pPr>
        <w:rPr>
          <w:lang w:val="en-GB"/>
        </w:rPr>
      </w:pPr>
    </w:p>
    <w:p w:rsidRPr="00EE2DA8" w:rsidR="00522CD3" w:rsidP="00886903" w:rsidRDefault="00522CD3" w14:paraId="19089348" w14:textId="7197A4F0">
      <w:pPr>
        <w:pStyle w:val="Heading1"/>
        <w:rPr>
          <w:lang w:val="en-GB" w:eastAsia="fr-BE"/>
        </w:rPr>
      </w:pPr>
      <w:r w:rsidRPr="00EE2DA8">
        <w:rPr>
          <w:lang w:val="en-GB" w:eastAsia="fr-BE"/>
        </w:rPr>
        <w:t>Underlines the need for an EU policy framework to allow for the efficient establishment and management of cross-</w:t>
      </w:r>
      <w:r w:rsidRPr="00EE2DA8">
        <w:rPr>
          <w:lang w:val="en-GB"/>
        </w:rPr>
        <w:t>border</w:t>
      </w:r>
      <w:r w:rsidRPr="00EE2DA8">
        <w:rPr>
          <w:lang w:val="en-GB" w:eastAsia="fr-BE"/>
        </w:rPr>
        <w:t xml:space="preserve"> public services</w:t>
      </w:r>
      <w:r w:rsidRPr="00EE2DA8" w:rsidR="00684163">
        <w:rPr>
          <w:lang w:val="en-GB" w:eastAsia="fr-BE"/>
        </w:rPr>
        <w:t>; a</w:t>
      </w:r>
      <w:r w:rsidRPr="00EE2DA8" w:rsidR="004B71CD">
        <w:rPr>
          <w:lang w:val="en-GB" w:eastAsia="fr-BE"/>
        </w:rPr>
        <w:t>lso encou</w:t>
      </w:r>
      <w:r w:rsidRPr="00EE2DA8" w:rsidR="00096705">
        <w:rPr>
          <w:lang w:val="en-GB" w:eastAsia="fr-BE"/>
        </w:rPr>
        <w:t>rages the European legislator, M</w:t>
      </w:r>
      <w:r w:rsidRPr="00EE2DA8" w:rsidR="004B71CD">
        <w:rPr>
          <w:lang w:val="en-GB" w:eastAsia="fr-BE"/>
        </w:rPr>
        <w:t>ember S</w:t>
      </w:r>
      <w:r w:rsidRPr="00EE2DA8" w:rsidR="00096705">
        <w:rPr>
          <w:lang w:val="en-GB" w:eastAsia="fr-BE"/>
        </w:rPr>
        <w:t>t</w:t>
      </w:r>
      <w:r w:rsidRPr="00EE2DA8" w:rsidR="004B71CD">
        <w:rPr>
          <w:lang w:val="en-GB" w:eastAsia="fr-BE"/>
        </w:rPr>
        <w:t xml:space="preserve">ates, regions and local authorities to </w:t>
      </w:r>
      <w:r w:rsidRPr="00EE2DA8" w:rsidR="002F0545">
        <w:rPr>
          <w:lang w:val="en-GB" w:eastAsia="fr-BE"/>
        </w:rPr>
        <w:t>further develop and promote</w:t>
      </w:r>
      <w:r w:rsidRPr="00EE2DA8" w:rsidR="004B71CD">
        <w:rPr>
          <w:lang w:val="en-GB" w:eastAsia="fr-BE"/>
        </w:rPr>
        <w:t xml:space="preserve"> tools </w:t>
      </w:r>
      <w:r w:rsidRPr="00EE2DA8" w:rsidR="009F0601">
        <w:rPr>
          <w:lang w:val="en-GB" w:eastAsia="fr-BE"/>
        </w:rPr>
        <w:t xml:space="preserve">for </w:t>
      </w:r>
      <w:r w:rsidRPr="00EE2DA8" w:rsidR="004B71CD">
        <w:rPr>
          <w:lang w:val="en-GB" w:eastAsia="fr-BE"/>
        </w:rPr>
        <w:t>participatory cross-borde</w:t>
      </w:r>
      <w:r w:rsidRPr="00EE2DA8" w:rsidR="00096705">
        <w:rPr>
          <w:lang w:val="en-GB" w:eastAsia="fr-BE"/>
        </w:rPr>
        <w:t>r democracy that contribute to</w:t>
      </w:r>
      <w:r w:rsidRPr="00EE2DA8" w:rsidR="004B71CD">
        <w:rPr>
          <w:lang w:val="en-GB" w:eastAsia="fr-BE"/>
        </w:rPr>
        <w:t xml:space="preserve"> the involvement of citizens in the European integration process on the ground;</w:t>
      </w:r>
    </w:p>
    <w:p w:rsidRPr="00EE2DA8" w:rsidR="00522CD3" w:rsidP="00402160" w:rsidRDefault="00522CD3" w14:paraId="790702D4" w14:textId="77777777">
      <w:pPr>
        <w:rPr>
          <w:lang w:val="en-GB" w:eastAsia="fr-BE"/>
        </w:rPr>
      </w:pPr>
    </w:p>
    <w:p w:rsidRPr="00EE2DA8" w:rsidR="00522CD3" w:rsidP="00886903" w:rsidRDefault="00522CD3" w14:paraId="1D0466C6" w14:textId="1018A2A9">
      <w:pPr>
        <w:pStyle w:val="Heading1"/>
        <w:rPr>
          <w:lang w:val="en-GB"/>
        </w:rPr>
      </w:pPr>
      <w:r w:rsidRPr="00EE2DA8">
        <w:rPr>
          <w:lang w:val="en-GB"/>
        </w:rPr>
        <w:t xml:space="preserve">Deeply regrets that the discussions between Member States on the proposed European Cross-Border </w:t>
      </w:r>
      <w:r w:rsidRPr="00EE2DA8" w:rsidR="00016480">
        <w:rPr>
          <w:lang w:val="en-GB"/>
        </w:rPr>
        <w:t xml:space="preserve">Mechanism (ECBM) </w:t>
      </w:r>
      <w:r w:rsidRPr="00EE2DA8" w:rsidR="00016480">
        <w:rPr>
          <w:lang w:val="en-GB" w:eastAsia="fr-BE"/>
        </w:rPr>
        <w:t>failed</w:t>
      </w:r>
      <w:r w:rsidRPr="00EE2DA8" w:rsidR="00B9162B">
        <w:rPr>
          <w:lang w:val="en-GB"/>
        </w:rPr>
        <w:t>; a</w:t>
      </w:r>
      <w:r w:rsidRPr="00EE2DA8" w:rsidR="00016480">
        <w:rPr>
          <w:lang w:val="en-GB"/>
        </w:rPr>
        <w:t xml:space="preserve">s </w:t>
      </w:r>
      <w:r w:rsidRPr="00EE2DA8">
        <w:rPr>
          <w:lang w:val="en-GB"/>
        </w:rPr>
        <w:t xml:space="preserve">legal and administrative obstacles </w:t>
      </w:r>
      <w:r w:rsidRPr="00EE2DA8" w:rsidR="009F0601">
        <w:rPr>
          <w:lang w:val="en-GB"/>
        </w:rPr>
        <w:t xml:space="preserve">place </w:t>
      </w:r>
      <w:r w:rsidRPr="00EE2DA8">
        <w:rPr>
          <w:lang w:val="en-GB"/>
        </w:rPr>
        <w:t xml:space="preserve">serious limits </w:t>
      </w:r>
      <w:r w:rsidRPr="00EE2DA8" w:rsidR="00926A9E">
        <w:rPr>
          <w:lang w:val="en-GB"/>
        </w:rPr>
        <w:t>on</w:t>
      </w:r>
      <w:r w:rsidRPr="00EE2DA8">
        <w:rPr>
          <w:lang w:val="en-GB"/>
        </w:rPr>
        <w:t xml:space="preserve"> cross-border cooperation and </w:t>
      </w:r>
      <w:r w:rsidRPr="00EE2DA8" w:rsidR="009F0601">
        <w:rPr>
          <w:lang w:val="en-GB"/>
        </w:rPr>
        <w:t xml:space="preserve">on </w:t>
      </w:r>
      <w:r w:rsidRPr="00EE2DA8">
        <w:rPr>
          <w:lang w:val="en-GB"/>
        </w:rPr>
        <w:t>the quality of life in border regions, the CoR calls for a new Commission</w:t>
      </w:r>
      <w:r w:rsidRPr="00EE2DA8" w:rsidR="00016480">
        <w:rPr>
          <w:lang w:val="en-GB"/>
        </w:rPr>
        <w:t xml:space="preserve"> proposal for a</w:t>
      </w:r>
      <w:r w:rsidRPr="00EE2DA8">
        <w:rPr>
          <w:lang w:val="en-GB"/>
        </w:rPr>
        <w:t xml:space="preserve"> ECBM regulation</w:t>
      </w:r>
      <w:r w:rsidRPr="00EE2DA8" w:rsidR="0053106D">
        <w:rPr>
          <w:lang w:val="en-GB"/>
        </w:rPr>
        <w:t>;</w:t>
      </w:r>
    </w:p>
    <w:p w:rsidRPr="00EE2DA8" w:rsidR="00522CD3" w:rsidP="00402160" w:rsidRDefault="00522CD3" w14:paraId="4CE78B3A" w14:textId="77777777">
      <w:pPr>
        <w:outlineLvl w:val="0"/>
        <w:rPr>
          <w:kern w:val="28"/>
          <w:lang w:val="en-GB"/>
        </w:rPr>
      </w:pPr>
    </w:p>
    <w:p w:rsidRPr="00EE2DA8" w:rsidR="00CD0FA1" w:rsidP="00886903" w:rsidRDefault="0053106D" w14:paraId="717B7A46" w14:textId="1C24F69A">
      <w:pPr>
        <w:pStyle w:val="Heading1"/>
        <w:rPr>
          <w:lang w:val="en-GB"/>
        </w:rPr>
      </w:pPr>
      <w:r w:rsidRPr="00EE2DA8">
        <w:rPr>
          <w:lang w:val="en-GB"/>
        </w:rPr>
        <w:t>Calls on the European Commission to follow-up with concrete guidelines on the new urban mobility framework</w:t>
      </w:r>
      <w:r w:rsidRPr="00EE2DA8" w:rsidR="009F0601">
        <w:rPr>
          <w:lang w:val="en-GB"/>
        </w:rPr>
        <w:t>,</w:t>
      </w:r>
      <w:r w:rsidRPr="00EE2DA8">
        <w:rPr>
          <w:lang w:val="en-GB"/>
        </w:rPr>
        <w:t xml:space="preserve"> </w:t>
      </w:r>
      <w:r w:rsidRPr="00EE2DA8">
        <w:rPr>
          <w:lang w:val="en-GB" w:eastAsia="fr-BE"/>
        </w:rPr>
        <w:t>which</w:t>
      </w:r>
      <w:r w:rsidRPr="00EE2DA8">
        <w:rPr>
          <w:lang w:val="en-GB"/>
        </w:rPr>
        <w:t xml:space="preserve"> </w:t>
      </w:r>
      <w:r w:rsidRPr="00EE2DA8" w:rsidR="009F0601">
        <w:rPr>
          <w:lang w:val="en-GB"/>
        </w:rPr>
        <w:t>wi</w:t>
      </w:r>
      <w:r w:rsidRPr="00EE2DA8">
        <w:rPr>
          <w:lang w:val="en-GB"/>
        </w:rPr>
        <w:t xml:space="preserve">ll make urban mobility more sustainable and </w:t>
      </w:r>
      <w:r w:rsidRPr="00EE2DA8" w:rsidR="00EE7443">
        <w:rPr>
          <w:lang w:val="en-GB"/>
        </w:rPr>
        <w:t xml:space="preserve">reduce its impact on people's </w:t>
      </w:r>
      <w:r w:rsidRPr="00EE2DA8">
        <w:rPr>
          <w:lang w:val="en-GB"/>
        </w:rPr>
        <w:t>health;</w:t>
      </w:r>
    </w:p>
    <w:p w:rsidRPr="00EE2DA8" w:rsidR="0053106D" w:rsidP="00402160" w:rsidRDefault="0053106D" w14:paraId="75584D76" w14:textId="399C0034">
      <w:pPr>
        <w:outlineLvl w:val="0"/>
        <w:rPr>
          <w:kern w:val="28"/>
          <w:lang w:val="en-GB"/>
        </w:rPr>
      </w:pPr>
    </w:p>
    <w:p w:rsidRPr="00EE2DA8" w:rsidR="0053106D" w:rsidP="00886903" w:rsidRDefault="0053106D" w14:paraId="57A0A30C" w14:textId="5115372E">
      <w:pPr>
        <w:pStyle w:val="Heading1"/>
        <w:rPr>
          <w:lang w:val="en-GB"/>
        </w:rPr>
      </w:pPr>
      <w:r w:rsidRPr="00EE2DA8">
        <w:rPr>
          <w:lang w:val="en-GB"/>
        </w:rPr>
        <w:t>Welcomes the inter-institutional agreement on the Connecting Euro</w:t>
      </w:r>
      <w:r w:rsidRPr="00EE2DA8" w:rsidR="00016480">
        <w:rPr>
          <w:lang w:val="en-GB"/>
        </w:rPr>
        <w:t>pe Facility (CEF). Hopes that co-financed</w:t>
      </w:r>
      <w:r w:rsidRPr="00EE2DA8">
        <w:rPr>
          <w:lang w:val="en-GB"/>
        </w:rPr>
        <w:t xml:space="preserve"> projects on the trans-European transport network (TEN-T)</w:t>
      </w:r>
      <w:r w:rsidRPr="00EE2DA8" w:rsidR="005220A7">
        <w:rPr>
          <w:lang w:val="en-GB"/>
        </w:rPr>
        <w:t xml:space="preserve"> and</w:t>
      </w:r>
      <w:r w:rsidRPr="00EE2DA8">
        <w:rPr>
          <w:lang w:val="en-GB"/>
        </w:rPr>
        <w:t xml:space="preserve"> </w:t>
      </w:r>
      <w:r w:rsidRPr="00EE2DA8" w:rsidR="005220A7">
        <w:rPr>
          <w:lang w:val="en-GB"/>
        </w:rPr>
        <w:t xml:space="preserve">trans-European energy infrastructure (TEN-E) </w:t>
      </w:r>
      <w:r w:rsidRPr="00EE2DA8" w:rsidR="00016480">
        <w:rPr>
          <w:lang w:val="en-GB"/>
        </w:rPr>
        <w:t>will contribute</w:t>
      </w:r>
      <w:r w:rsidRPr="00EE2DA8">
        <w:rPr>
          <w:lang w:val="en-GB"/>
        </w:rPr>
        <w:t xml:space="preserve"> </w:t>
      </w:r>
      <w:r w:rsidRPr="00EE2DA8" w:rsidR="006E1443">
        <w:rPr>
          <w:lang w:val="en-GB"/>
        </w:rPr>
        <w:t xml:space="preserve">to </w:t>
      </w:r>
      <w:r w:rsidRPr="00EE2DA8" w:rsidR="00016480">
        <w:rPr>
          <w:lang w:val="en-GB"/>
        </w:rPr>
        <w:t>eliminating</w:t>
      </w:r>
      <w:r w:rsidRPr="00EE2DA8">
        <w:rPr>
          <w:lang w:val="en-GB"/>
        </w:rPr>
        <w:t xml:space="preserve"> missing links, especially in cross-border regions, and reminds the Commission o</w:t>
      </w:r>
      <w:r w:rsidRPr="00EE2DA8" w:rsidR="00926A9E">
        <w:rPr>
          <w:lang w:val="en-GB"/>
        </w:rPr>
        <w:t>f</w:t>
      </w:r>
      <w:r w:rsidRPr="00EE2DA8">
        <w:rPr>
          <w:lang w:val="en-GB"/>
        </w:rPr>
        <w:t xml:space="preserve"> the need to dedicate </w:t>
      </w:r>
      <w:r w:rsidRPr="00EE2DA8" w:rsidR="00926A9E">
        <w:rPr>
          <w:lang w:val="en-GB"/>
        </w:rPr>
        <w:t xml:space="preserve">a </w:t>
      </w:r>
      <w:r w:rsidRPr="00EE2DA8" w:rsidR="009C4D3D">
        <w:rPr>
          <w:lang w:val="en-GB"/>
        </w:rPr>
        <w:t>sufficient budget to</w:t>
      </w:r>
      <w:r w:rsidRPr="00EE2DA8">
        <w:rPr>
          <w:lang w:val="en-GB"/>
        </w:rPr>
        <w:t xml:space="preserve"> </w:t>
      </w:r>
      <w:r w:rsidRPr="00EE2DA8" w:rsidR="00926A9E">
        <w:rPr>
          <w:lang w:val="en-GB"/>
        </w:rPr>
        <w:t xml:space="preserve">the </w:t>
      </w:r>
      <w:r w:rsidRPr="00EE2DA8">
        <w:rPr>
          <w:lang w:val="en-GB"/>
        </w:rPr>
        <w:t>co-financing of projects on the comprehensive network</w:t>
      </w:r>
      <w:r w:rsidRPr="00EE2DA8" w:rsidR="007C7A94">
        <w:rPr>
          <w:lang w:val="en-GB"/>
        </w:rPr>
        <w:t>;</w:t>
      </w:r>
    </w:p>
    <w:p w:rsidRPr="00EE2DA8" w:rsidR="0053106D" w:rsidP="00402160" w:rsidRDefault="0053106D" w14:paraId="489BF4E0" w14:textId="77777777">
      <w:pPr>
        <w:outlineLvl w:val="0"/>
        <w:rPr>
          <w:kern w:val="28"/>
          <w:lang w:val="en-GB"/>
        </w:rPr>
      </w:pPr>
    </w:p>
    <w:p w:rsidRPr="00EE2DA8" w:rsidR="00522CD3" w:rsidP="00A574FF" w:rsidRDefault="004C3A4E" w14:paraId="4D4465AC" w14:textId="30CCF28C">
      <w:pPr>
        <w:pStyle w:val="Heading1"/>
        <w:keepNext/>
        <w:numPr>
          <w:ilvl w:val="0"/>
          <w:numId w:val="0"/>
        </w:numPr>
        <w:rPr>
          <w:i/>
          <w:lang w:val="en-GB"/>
        </w:rPr>
      </w:pPr>
      <w:r w:rsidRPr="00EE2DA8">
        <w:rPr>
          <w:i/>
          <w:lang w:val="en-GB"/>
        </w:rPr>
        <w:t>Social protection</w:t>
      </w:r>
      <w:r w:rsidRPr="00EE2DA8" w:rsidR="00CD0FA1">
        <w:rPr>
          <w:i/>
          <w:lang w:val="en-GB"/>
        </w:rPr>
        <w:t xml:space="preserve"> </w:t>
      </w:r>
    </w:p>
    <w:p w:rsidRPr="00EE2DA8" w:rsidR="00522CD3" w:rsidP="00A574FF" w:rsidRDefault="00522CD3" w14:paraId="53FD42F0" w14:textId="77777777">
      <w:pPr>
        <w:keepNext/>
        <w:rPr>
          <w:lang w:val="en-GB"/>
        </w:rPr>
      </w:pPr>
    </w:p>
    <w:p w:rsidRPr="00EE2DA8" w:rsidR="00522CD3" w:rsidP="00A574FF" w:rsidRDefault="007624C7" w14:paraId="35FDC7A8" w14:textId="35F2B342">
      <w:pPr>
        <w:pStyle w:val="Heading1"/>
        <w:keepNext/>
        <w:rPr>
          <w:lang w:val="en-GB"/>
        </w:rPr>
      </w:pPr>
      <w:r w:rsidRPr="00EE2DA8">
        <w:rPr>
          <w:lang w:val="en-GB"/>
        </w:rPr>
        <w:t>S</w:t>
      </w:r>
      <w:r w:rsidRPr="00EE2DA8" w:rsidR="00A159A5">
        <w:rPr>
          <w:lang w:val="en-GB"/>
        </w:rPr>
        <w:t xml:space="preserve">uggests </w:t>
      </w:r>
      <w:r w:rsidRPr="00EE2DA8" w:rsidR="00E34A9B">
        <w:rPr>
          <w:lang w:val="en-GB"/>
        </w:rPr>
        <w:t>establish</w:t>
      </w:r>
      <w:r w:rsidRPr="00EE2DA8" w:rsidR="006E1443">
        <w:rPr>
          <w:lang w:val="en-GB"/>
        </w:rPr>
        <w:t>ing</w:t>
      </w:r>
      <w:r w:rsidRPr="00EE2DA8" w:rsidR="00E34A9B">
        <w:rPr>
          <w:lang w:val="en-GB"/>
        </w:rPr>
        <w:t xml:space="preserve"> a regional social scoreboard </w:t>
      </w:r>
      <w:r w:rsidRPr="00EE2DA8" w:rsidR="00522CD3">
        <w:rPr>
          <w:lang w:val="en-GB"/>
        </w:rPr>
        <w:t xml:space="preserve">in order to capture the full extent of the social challenges in the EU and to ensure that the </w:t>
      </w:r>
      <w:r w:rsidRPr="00EE2DA8" w:rsidR="007C7A94">
        <w:rPr>
          <w:lang w:val="en-GB"/>
        </w:rPr>
        <w:t xml:space="preserve">European </w:t>
      </w:r>
      <w:r w:rsidRPr="00EE2DA8" w:rsidR="00522CD3">
        <w:rPr>
          <w:lang w:val="en-GB"/>
        </w:rPr>
        <w:t>Pillar</w:t>
      </w:r>
      <w:r w:rsidRPr="00EE2DA8" w:rsidR="007C7A94">
        <w:rPr>
          <w:lang w:val="en-GB"/>
        </w:rPr>
        <w:t xml:space="preserve"> of Social Rights (EPRS)</w:t>
      </w:r>
      <w:r w:rsidRPr="00EE2DA8" w:rsidR="00886903">
        <w:rPr>
          <w:lang w:val="en-GB"/>
        </w:rPr>
        <w:t xml:space="preserve"> is implemented at all levels</w:t>
      </w:r>
      <w:r w:rsidRPr="00EE2DA8" w:rsidR="00522CD3">
        <w:rPr>
          <w:lang w:val="en-GB"/>
        </w:rPr>
        <w:t xml:space="preserve">; </w:t>
      </w:r>
    </w:p>
    <w:p w:rsidRPr="00EE2DA8" w:rsidR="00E62CC0" w:rsidP="00D940A6" w:rsidRDefault="00E62CC0" w14:paraId="69D00C28" w14:textId="77777777">
      <w:pPr>
        <w:rPr>
          <w:lang w:val="en-GB"/>
        </w:rPr>
      </w:pPr>
    </w:p>
    <w:p w:rsidRPr="00EE2DA8" w:rsidR="00522CD3" w:rsidP="00886903" w:rsidRDefault="00C10C60" w14:paraId="63E14308" w14:textId="3AD3B2C2">
      <w:pPr>
        <w:pStyle w:val="Heading1"/>
        <w:rPr>
          <w:lang w:val="en-GB"/>
        </w:rPr>
      </w:pPr>
      <w:r w:rsidRPr="00EE2DA8">
        <w:rPr>
          <w:lang w:val="en-GB"/>
        </w:rPr>
        <w:t>C</w:t>
      </w:r>
      <w:r w:rsidRPr="00EE2DA8" w:rsidR="00E62CC0">
        <w:rPr>
          <w:lang w:val="en-GB"/>
        </w:rPr>
        <w:t>all</w:t>
      </w:r>
      <w:r w:rsidRPr="00EE2DA8" w:rsidR="00926A9E">
        <w:rPr>
          <w:lang w:val="en-GB"/>
        </w:rPr>
        <w:t>s</w:t>
      </w:r>
      <w:r w:rsidRPr="00EE2DA8" w:rsidR="00E62CC0">
        <w:rPr>
          <w:lang w:val="en-GB"/>
        </w:rPr>
        <w:t xml:space="preserve"> on the Commission to support and monitor Member States</w:t>
      </w:r>
      <w:r w:rsidRPr="00EE2DA8" w:rsidR="0049132F">
        <w:rPr>
          <w:lang w:val="en-GB"/>
        </w:rPr>
        <w:t>'</w:t>
      </w:r>
      <w:r w:rsidRPr="00EE2DA8" w:rsidR="00E62CC0">
        <w:rPr>
          <w:lang w:val="en-GB"/>
        </w:rPr>
        <w:t xml:space="preserve"> implementation </w:t>
      </w:r>
      <w:r w:rsidRPr="00EE2DA8">
        <w:rPr>
          <w:lang w:val="en-GB"/>
        </w:rPr>
        <w:t xml:space="preserve">of the European Child Guarantee </w:t>
      </w:r>
      <w:r w:rsidRPr="00EE2DA8" w:rsidR="00E62CC0">
        <w:rPr>
          <w:lang w:val="en-GB"/>
        </w:rPr>
        <w:t>and facilitate the exchange of best practice</w:t>
      </w:r>
      <w:r w:rsidRPr="00EE2DA8" w:rsidR="00926A9E">
        <w:rPr>
          <w:lang w:val="en-GB"/>
        </w:rPr>
        <w:t>s</w:t>
      </w:r>
      <w:r w:rsidRPr="00EE2DA8" w:rsidR="00E62CC0">
        <w:rPr>
          <w:lang w:val="en-GB"/>
        </w:rPr>
        <w:t xml:space="preserve"> in this regard;</w:t>
      </w:r>
    </w:p>
    <w:p w:rsidRPr="00EE2DA8" w:rsidR="00E62CC0" w:rsidP="00D940A6" w:rsidRDefault="00E62CC0" w14:paraId="411657A4" w14:textId="77777777">
      <w:pPr>
        <w:rPr>
          <w:lang w:val="en-GB"/>
        </w:rPr>
      </w:pPr>
    </w:p>
    <w:p w:rsidRPr="00EE2DA8" w:rsidR="00522CD3" w:rsidP="00886903" w:rsidRDefault="00333F00" w14:paraId="53D5834A" w14:textId="667D96C3">
      <w:pPr>
        <w:pStyle w:val="Heading1"/>
        <w:rPr>
          <w:lang w:val="en-GB"/>
        </w:rPr>
      </w:pPr>
      <w:r w:rsidRPr="00EE2DA8">
        <w:rPr>
          <w:lang w:val="en-GB"/>
        </w:rPr>
        <w:t xml:space="preserve">Expects the Commission to come up with an ambitious proposal on </w:t>
      </w:r>
      <w:r w:rsidRPr="00EE2DA8" w:rsidR="00522CD3">
        <w:rPr>
          <w:lang w:val="en-GB"/>
        </w:rPr>
        <w:t xml:space="preserve">Improving Working Conditions </w:t>
      </w:r>
      <w:r w:rsidRPr="00EE2DA8" w:rsidR="0049132F">
        <w:rPr>
          <w:lang w:val="en-GB"/>
        </w:rPr>
        <w:t xml:space="preserve">for </w:t>
      </w:r>
      <w:r w:rsidRPr="00EE2DA8" w:rsidR="00522CD3">
        <w:rPr>
          <w:lang w:val="en-GB"/>
        </w:rPr>
        <w:t>Platform Workers;</w:t>
      </w:r>
    </w:p>
    <w:p w:rsidRPr="00EE2DA8" w:rsidR="00522CD3" w:rsidP="00402160" w:rsidRDefault="00522CD3" w14:paraId="411A919D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A159A5" w:rsidP="00886903" w:rsidRDefault="00CF34EA" w14:paraId="335104CF" w14:textId="666996F6">
      <w:pPr>
        <w:pStyle w:val="Heading1"/>
        <w:rPr>
          <w:lang w:val="en-GB"/>
        </w:rPr>
      </w:pPr>
      <w:r w:rsidRPr="00EE2DA8">
        <w:rPr>
          <w:lang w:val="en-GB"/>
        </w:rPr>
        <w:t>I</w:t>
      </w:r>
      <w:r w:rsidRPr="00EE2DA8" w:rsidR="003962A3">
        <w:rPr>
          <w:lang w:val="en-GB"/>
        </w:rPr>
        <w:t xml:space="preserve">nvites the Commission to feed the </w:t>
      </w:r>
      <w:r w:rsidRPr="00EE2DA8" w:rsidR="00E34A9B">
        <w:rPr>
          <w:lang w:val="en-GB"/>
        </w:rPr>
        <w:t xml:space="preserve">CoR's </w:t>
      </w:r>
      <w:r w:rsidRPr="00EE2DA8" w:rsidR="003962A3">
        <w:rPr>
          <w:lang w:val="en-GB"/>
        </w:rPr>
        <w:t xml:space="preserve">recommendations </w:t>
      </w:r>
      <w:r w:rsidRPr="00EE2DA8" w:rsidR="00333F00">
        <w:rPr>
          <w:lang w:val="en-GB"/>
        </w:rPr>
        <w:t>i</w:t>
      </w:r>
      <w:r w:rsidRPr="00EE2DA8" w:rsidR="003962A3">
        <w:rPr>
          <w:lang w:val="en-GB"/>
        </w:rPr>
        <w:t>nto</w:t>
      </w:r>
      <w:r w:rsidRPr="00EE2DA8" w:rsidR="00522CD3">
        <w:rPr>
          <w:lang w:val="en-GB"/>
        </w:rPr>
        <w:t xml:space="preserve"> the Initiative on Long-term Care</w:t>
      </w:r>
      <w:r w:rsidRPr="00EE2DA8" w:rsidR="003962A3">
        <w:rPr>
          <w:lang w:val="en-GB"/>
        </w:rPr>
        <w:t xml:space="preserve">, </w:t>
      </w:r>
      <w:r w:rsidRPr="00EE2DA8" w:rsidR="00A159A5">
        <w:rPr>
          <w:lang w:val="en-GB"/>
        </w:rPr>
        <w:t xml:space="preserve">given </w:t>
      </w:r>
      <w:r w:rsidRPr="00EE2DA8" w:rsidR="00E34A9B">
        <w:rPr>
          <w:lang w:val="en-GB"/>
        </w:rPr>
        <w:t xml:space="preserve">its </w:t>
      </w:r>
      <w:r w:rsidRPr="00EE2DA8" w:rsidR="00A159A5">
        <w:rPr>
          <w:lang w:val="en-GB"/>
        </w:rPr>
        <w:t xml:space="preserve">strong </w:t>
      </w:r>
      <w:r w:rsidRPr="00EE2DA8" w:rsidR="00522CD3">
        <w:rPr>
          <w:lang w:val="en-GB"/>
        </w:rPr>
        <w:t xml:space="preserve">link </w:t>
      </w:r>
      <w:r w:rsidRPr="00EE2DA8" w:rsidR="00E34A9B">
        <w:rPr>
          <w:lang w:val="en-GB"/>
        </w:rPr>
        <w:t xml:space="preserve">with </w:t>
      </w:r>
      <w:r w:rsidRPr="00EE2DA8" w:rsidR="003962A3">
        <w:rPr>
          <w:lang w:val="en-GB"/>
        </w:rPr>
        <w:t>severe skills shortages in this field</w:t>
      </w:r>
      <w:r w:rsidRPr="00EE2DA8" w:rsidR="00522CD3">
        <w:rPr>
          <w:lang w:val="en-GB"/>
        </w:rPr>
        <w:t xml:space="preserve"> and demographic change, </w:t>
      </w:r>
      <w:r w:rsidRPr="00EE2DA8" w:rsidR="0049132F">
        <w:rPr>
          <w:lang w:val="en-GB"/>
        </w:rPr>
        <w:t xml:space="preserve">which are </w:t>
      </w:r>
      <w:r w:rsidRPr="00EE2DA8" w:rsidR="00522CD3">
        <w:rPr>
          <w:lang w:val="en-GB"/>
        </w:rPr>
        <w:t>especially acute in regions with an ageing population;</w:t>
      </w:r>
      <w:r w:rsidRPr="00EE2DA8" w:rsidR="008468C7">
        <w:rPr>
          <w:lang w:val="en-GB"/>
        </w:rPr>
        <w:t xml:space="preserve"> </w:t>
      </w:r>
    </w:p>
    <w:p w:rsidRPr="00EE2DA8" w:rsidR="00522CD3" w:rsidP="00402160" w:rsidRDefault="00522CD3" w14:paraId="0A279872" w14:textId="77777777">
      <w:pPr>
        <w:rPr>
          <w:lang w:val="en-GB"/>
        </w:rPr>
      </w:pPr>
    </w:p>
    <w:p w:rsidRPr="00EE2DA8" w:rsidR="00144D88" w:rsidP="00886903" w:rsidRDefault="00860EE3" w14:paraId="2C0FF6ED" w14:textId="7B0DB252">
      <w:pPr>
        <w:pStyle w:val="Heading1"/>
        <w:rPr>
          <w:lang w:val="en-GB"/>
        </w:rPr>
      </w:pPr>
      <w:r w:rsidRPr="00EE2DA8">
        <w:rPr>
          <w:lang w:val="en-GB"/>
        </w:rPr>
        <w:t>C</w:t>
      </w:r>
      <w:r w:rsidRPr="00EE2DA8" w:rsidR="00DB3ED7">
        <w:rPr>
          <w:lang w:val="en-GB"/>
        </w:rPr>
        <w:t xml:space="preserve">ommits to play an active role in </w:t>
      </w:r>
      <w:r w:rsidRPr="00EE2DA8" w:rsidR="00144D88">
        <w:rPr>
          <w:lang w:val="en-GB"/>
        </w:rPr>
        <w:t>the European Platform on Combating Homelessness</w:t>
      </w:r>
      <w:r w:rsidRPr="00EE2DA8" w:rsidR="00DB3ED7">
        <w:rPr>
          <w:lang w:val="en-GB"/>
        </w:rPr>
        <w:t>, which should be complemented by a Commission proposal for an EU framework for national homelessness strategies</w:t>
      </w:r>
      <w:r w:rsidRPr="00EE2DA8" w:rsidR="00144D88">
        <w:rPr>
          <w:lang w:val="en-GB"/>
        </w:rPr>
        <w:t>;</w:t>
      </w:r>
    </w:p>
    <w:p w:rsidRPr="00EE2DA8" w:rsidR="00144D88" w:rsidP="007B0357" w:rsidRDefault="00144D88" w14:paraId="6875B515" w14:textId="1D254F3D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162E2E" w:rsidP="00886903" w:rsidRDefault="00144D88" w14:paraId="6138EB91" w14:textId="06BE89EA">
      <w:pPr>
        <w:pStyle w:val="Heading1"/>
        <w:rPr>
          <w:lang w:val="en-GB"/>
        </w:rPr>
      </w:pPr>
      <w:r w:rsidRPr="00EE2DA8">
        <w:rPr>
          <w:lang w:val="en-GB"/>
        </w:rPr>
        <w:t xml:space="preserve">Calls on the Commission to </w:t>
      </w:r>
      <w:r w:rsidRPr="00EE2DA8" w:rsidR="0049132F">
        <w:rPr>
          <w:lang w:val="en-GB"/>
        </w:rPr>
        <w:t xml:space="preserve">pay </w:t>
      </w:r>
      <w:r w:rsidRPr="00EE2DA8" w:rsidR="00522CD3">
        <w:rPr>
          <w:lang w:val="en-GB"/>
        </w:rPr>
        <w:t xml:space="preserve">special attention to reinforcing the </w:t>
      </w:r>
      <w:r w:rsidRPr="00EE2DA8" w:rsidR="007C7A94">
        <w:rPr>
          <w:lang w:val="en-GB"/>
        </w:rPr>
        <w:t xml:space="preserve">recovery </w:t>
      </w:r>
      <w:r w:rsidRPr="00EE2DA8" w:rsidR="00522CD3">
        <w:rPr>
          <w:lang w:val="en-GB"/>
        </w:rPr>
        <w:t xml:space="preserve">and </w:t>
      </w:r>
      <w:r w:rsidRPr="00EE2DA8" w:rsidR="007C7A94">
        <w:rPr>
          <w:lang w:val="en-GB"/>
        </w:rPr>
        <w:t>resilience of</w:t>
      </w:r>
      <w:r w:rsidRPr="00EE2DA8" w:rsidR="00522CD3">
        <w:rPr>
          <w:lang w:val="en-GB"/>
        </w:rPr>
        <w:t xml:space="preserve"> the cultural and creative sectors in light of the COVID-19 pandemic and</w:t>
      </w:r>
      <w:r w:rsidRPr="00A574FF" w:rsidR="00E102F6">
        <w:rPr>
          <w:lang w:val="en-GB"/>
        </w:rPr>
        <w:t xml:space="preserve"> </w:t>
      </w:r>
      <w:r w:rsidRPr="00EE2DA8" w:rsidR="0049132F">
        <w:rPr>
          <w:lang w:val="en-GB"/>
        </w:rPr>
        <w:t xml:space="preserve">to </w:t>
      </w:r>
      <w:r w:rsidRPr="00EE2DA8" w:rsidR="00E102F6">
        <w:rPr>
          <w:lang w:val="en-GB"/>
        </w:rPr>
        <w:t xml:space="preserve">address </w:t>
      </w:r>
      <w:r w:rsidRPr="00EE2DA8" w:rsidR="0049132F">
        <w:rPr>
          <w:lang w:val="en-GB"/>
        </w:rPr>
        <w:t xml:space="preserve">the </w:t>
      </w:r>
      <w:r w:rsidRPr="00EE2DA8" w:rsidR="00E102F6">
        <w:rPr>
          <w:lang w:val="en-GB"/>
        </w:rPr>
        <w:t>precariousness of artists' working conditions by establishing</w:t>
      </w:r>
      <w:r w:rsidRPr="00EE2DA8" w:rsidR="00860EE3">
        <w:rPr>
          <w:lang w:val="en-GB"/>
        </w:rPr>
        <w:t xml:space="preserve"> a </w:t>
      </w:r>
      <w:r w:rsidRPr="00EE2DA8" w:rsidR="0049132F">
        <w:rPr>
          <w:lang w:val="en-GB"/>
        </w:rPr>
        <w:t>'</w:t>
      </w:r>
      <w:r w:rsidRPr="00EE2DA8" w:rsidR="00860EE3">
        <w:rPr>
          <w:lang w:val="en-GB"/>
        </w:rPr>
        <w:t>European artist</w:t>
      </w:r>
      <w:r w:rsidRPr="00EE2DA8" w:rsidR="0049132F">
        <w:rPr>
          <w:lang w:val="en-GB"/>
        </w:rPr>
        <w:t>' status</w:t>
      </w:r>
      <w:r w:rsidRPr="00EE2DA8" w:rsidR="00522CD3">
        <w:rPr>
          <w:lang w:val="en-GB"/>
        </w:rPr>
        <w:t xml:space="preserve">, </w:t>
      </w:r>
      <w:r w:rsidRPr="00EE2DA8" w:rsidR="000917C0">
        <w:rPr>
          <w:lang w:val="en-GB"/>
        </w:rPr>
        <w:t xml:space="preserve">which would facilitate </w:t>
      </w:r>
      <w:r w:rsidRPr="00EE2DA8" w:rsidR="00E102F6">
        <w:rPr>
          <w:lang w:val="en-GB"/>
        </w:rPr>
        <w:t xml:space="preserve">mobility and </w:t>
      </w:r>
      <w:r w:rsidRPr="00EE2DA8" w:rsidR="0049132F">
        <w:rPr>
          <w:lang w:val="en-GB"/>
        </w:rPr>
        <w:t xml:space="preserve">the </w:t>
      </w:r>
      <w:r w:rsidRPr="00EE2DA8" w:rsidR="00E102F6">
        <w:rPr>
          <w:lang w:val="en-GB"/>
        </w:rPr>
        <w:t>mutual recognition of their status</w:t>
      </w:r>
      <w:r w:rsidRPr="00EE2DA8" w:rsidR="00522CD3">
        <w:rPr>
          <w:lang w:val="en-GB"/>
        </w:rPr>
        <w:t>;</w:t>
      </w:r>
    </w:p>
    <w:p w:rsidRPr="00EE2DA8" w:rsidR="00DB3026" w:rsidP="00860EE3" w:rsidRDefault="00DB3026" w14:paraId="4AAB7587" w14:textId="77B4664F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CD0FA1" w:rsidP="00A574FF" w:rsidRDefault="004C3A4E" w14:paraId="5EC5EB1E" w14:textId="4F7387B0">
      <w:pPr>
        <w:keepNext/>
        <w:rPr>
          <w:i/>
          <w:lang w:val="en-GB"/>
        </w:rPr>
      </w:pPr>
      <w:r w:rsidRPr="00EE2DA8">
        <w:rPr>
          <w:i/>
          <w:lang w:val="en-GB"/>
        </w:rPr>
        <w:t>Security and Migration</w:t>
      </w:r>
    </w:p>
    <w:p w:rsidRPr="00EE2DA8" w:rsidR="00CD0FA1" w:rsidP="00A574FF" w:rsidRDefault="00CD0FA1" w14:paraId="6566E5E9" w14:textId="77777777">
      <w:pPr>
        <w:keepNext/>
        <w:rPr>
          <w:lang w:val="en-GB"/>
        </w:rPr>
      </w:pPr>
    </w:p>
    <w:p w:rsidRPr="00EE2DA8" w:rsidR="004E2A4B" w:rsidP="00A574FF" w:rsidRDefault="003C4194" w14:paraId="45BED689" w14:textId="50A3CF33">
      <w:pPr>
        <w:pStyle w:val="Heading1"/>
        <w:keepNext/>
        <w:rPr>
          <w:lang w:val="en-GB"/>
        </w:rPr>
      </w:pPr>
      <w:r w:rsidRPr="00EE2DA8">
        <w:rPr>
          <w:lang w:val="en-GB"/>
        </w:rPr>
        <w:t>C</w:t>
      </w:r>
      <w:r w:rsidRPr="00EE2DA8" w:rsidR="004E2A4B">
        <w:rPr>
          <w:lang w:val="en-GB"/>
        </w:rPr>
        <w:t>alls on the Commission to include the CoR as a full partner in the EU Pledge on Urban Security and Resilience</w:t>
      </w:r>
      <w:r w:rsidRPr="00EE2DA8" w:rsidR="00E34A9B">
        <w:rPr>
          <w:lang w:val="en-GB"/>
        </w:rPr>
        <w:t>,</w:t>
      </w:r>
      <w:r w:rsidRPr="00EE2DA8" w:rsidR="004E2A4B">
        <w:rPr>
          <w:lang w:val="en-GB"/>
        </w:rPr>
        <w:t xml:space="preserve"> and in the new Cities against Radicalisation and Terrorism initiative; </w:t>
      </w:r>
    </w:p>
    <w:p w:rsidRPr="00EE2DA8" w:rsidR="004E2A4B" w:rsidP="00402160" w:rsidRDefault="004E2A4B" w14:paraId="1AE8D02D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39008C" w:rsidP="00886903" w:rsidRDefault="003C4194" w14:paraId="7086FDB3" w14:textId="7C514F45">
      <w:pPr>
        <w:pStyle w:val="Heading1"/>
        <w:rPr>
          <w:lang w:val="en-GB"/>
        </w:rPr>
      </w:pPr>
      <w:r w:rsidRPr="00EE2DA8">
        <w:rPr>
          <w:lang w:val="en-GB"/>
        </w:rPr>
        <w:t>C</w:t>
      </w:r>
      <w:r w:rsidRPr="00EE2DA8" w:rsidR="004E2A4B">
        <w:rPr>
          <w:lang w:val="en-GB"/>
        </w:rPr>
        <w:t>alls on the Commission to ensure progress towards establishing a European framework for migration and asylum management, under the New Pact on Migration and Asylum</w:t>
      </w:r>
      <w:r w:rsidRPr="00EE2DA8" w:rsidR="00A82CF3">
        <w:rPr>
          <w:lang w:val="en-GB"/>
        </w:rPr>
        <w:t>; reiterates that the local and regional dimension of migration should be taken into account and supported by the new partnership between the CoR and the Commission on integration</w:t>
      </w:r>
      <w:r w:rsidRPr="00EE2DA8" w:rsidR="0039008C">
        <w:rPr>
          <w:lang w:val="en-GB"/>
        </w:rPr>
        <w:t>;</w:t>
      </w:r>
    </w:p>
    <w:p w:rsidRPr="00EE2DA8" w:rsidR="004E2A4B" w:rsidP="00402160" w:rsidRDefault="004E2A4B" w14:paraId="05BFB471" w14:textId="1E294ED2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4C3A4E" w:rsidP="00A574FF" w:rsidRDefault="004C3A4E" w14:paraId="31C186A3" w14:textId="3B850171">
      <w:pPr>
        <w:keepNext/>
        <w:rPr>
          <w:i/>
          <w:lang w:val="en-GB"/>
        </w:rPr>
      </w:pPr>
      <w:r w:rsidRPr="00EE2DA8">
        <w:rPr>
          <w:i/>
          <w:lang w:val="en-GB"/>
        </w:rPr>
        <w:t>Health, Civil Protection and Tourism</w:t>
      </w:r>
    </w:p>
    <w:p w:rsidRPr="00EE2DA8" w:rsidR="004C3A4E" w:rsidP="00A574FF" w:rsidRDefault="004C3A4E" w14:paraId="68AE06A8" w14:textId="77777777">
      <w:pPr>
        <w:keepNext/>
        <w:rPr>
          <w:lang w:val="en-GB"/>
        </w:rPr>
      </w:pPr>
    </w:p>
    <w:p w:rsidRPr="00EE2DA8" w:rsidR="00AE5025" w:rsidP="00A574FF" w:rsidRDefault="008629EC" w14:paraId="756D89B1" w14:textId="7A04B0B5">
      <w:pPr>
        <w:pStyle w:val="Heading1"/>
        <w:keepNext/>
        <w:rPr>
          <w:lang w:val="en-GB"/>
        </w:rPr>
      </w:pPr>
      <w:r w:rsidRPr="00EE2DA8">
        <w:rPr>
          <w:lang w:val="en-GB"/>
        </w:rPr>
        <w:t>Reminds the Commission that any review of the Schengen legal framework must take into account the views and needs of the cities and regions close to the internal borders; asks to be consulted at an early stage, in accordance with Protocol No. 2 on the Application of the Principles of Subsidiarity and Proportionality;</w:t>
      </w:r>
    </w:p>
    <w:p w:rsidRPr="00EE2DA8" w:rsidR="007B0357" w:rsidP="007B0357" w:rsidRDefault="007B0357" w14:paraId="18CB0588" w14:textId="77777777">
      <w:pPr>
        <w:rPr>
          <w:lang w:val="en-GB"/>
        </w:rPr>
      </w:pPr>
    </w:p>
    <w:p w:rsidRPr="00EE2DA8" w:rsidR="00AE5025" w:rsidP="00886903" w:rsidRDefault="00100162" w14:paraId="064834BB" w14:textId="42165749">
      <w:pPr>
        <w:pStyle w:val="Heading1"/>
        <w:rPr>
          <w:lang w:val="en-GB"/>
        </w:rPr>
      </w:pPr>
      <w:r w:rsidRPr="00EE2DA8">
        <w:rPr>
          <w:lang w:val="en-GB"/>
        </w:rPr>
        <w:t>Call</w:t>
      </w:r>
      <w:r w:rsidRPr="00EE2DA8" w:rsidR="00331F8A">
        <w:rPr>
          <w:lang w:val="en-GB"/>
        </w:rPr>
        <w:t>s</w:t>
      </w:r>
      <w:r w:rsidRPr="00EE2DA8">
        <w:rPr>
          <w:lang w:val="en-GB"/>
        </w:rPr>
        <w:t xml:space="preserve"> on the Commission</w:t>
      </w:r>
      <w:r w:rsidRPr="00EE2DA8" w:rsidR="00006AEA">
        <w:rPr>
          <w:lang w:val="en-GB"/>
        </w:rPr>
        <w:t xml:space="preserve"> to present</w:t>
      </w:r>
      <w:r w:rsidRPr="00EE2DA8">
        <w:rPr>
          <w:lang w:val="en-GB"/>
        </w:rPr>
        <w:t xml:space="preserve"> bold proposals for the development and production of essential medicines </w:t>
      </w:r>
      <w:r w:rsidRPr="00EE2DA8" w:rsidR="00331F8A">
        <w:rPr>
          <w:lang w:val="en-GB"/>
        </w:rPr>
        <w:t>in the EU</w:t>
      </w:r>
      <w:r w:rsidRPr="00EE2DA8">
        <w:rPr>
          <w:lang w:val="en-GB"/>
        </w:rPr>
        <w:t>, in order to ensure the EU's strategic autonomy by reducing dependency on third countries</w:t>
      </w:r>
      <w:r w:rsidRPr="00EE2DA8" w:rsidR="00AE5025">
        <w:rPr>
          <w:lang w:val="en-GB"/>
        </w:rPr>
        <w:t xml:space="preserve">; </w:t>
      </w:r>
      <w:r w:rsidRPr="00EE2DA8" w:rsidR="00006AEA">
        <w:rPr>
          <w:lang w:val="en-GB"/>
        </w:rPr>
        <w:t>expects the Commission to</w:t>
      </w:r>
      <w:r w:rsidRPr="00EE2DA8" w:rsidR="00D940A6">
        <w:rPr>
          <w:lang w:val="en-GB"/>
        </w:rPr>
        <w:t xml:space="preserve"> also</w:t>
      </w:r>
      <w:r w:rsidRPr="00EE2DA8" w:rsidR="00006AEA">
        <w:rPr>
          <w:lang w:val="en-GB"/>
        </w:rPr>
        <w:t xml:space="preserve"> propose concrete </w:t>
      </w:r>
      <w:r w:rsidRPr="00EE2DA8" w:rsidR="00D02521">
        <w:rPr>
          <w:lang w:val="en-GB"/>
        </w:rPr>
        <w:t xml:space="preserve">and </w:t>
      </w:r>
      <w:r w:rsidRPr="00EE2DA8" w:rsidR="00006AEA">
        <w:rPr>
          <w:lang w:val="en-GB"/>
        </w:rPr>
        <w:t xml:space="preserve">robust measures to stimulate access to generic and biosimilar medicines and </w:t>
      </w:r>
      <w:r w:rsidRPr="00EE2DA8" w:rsidR="00EB2D39">
        <w:rPr>
          <w:lang w:val="en-GB"/>
        </w:rPr>
        <w:t xml:space="preserve">also </w:t>
      </w:r>
      <w:r w:rsidRPr="00EE2DA8" w:rsidR="00145B4E">
        <w:rPr>
          <w:lang w:val="en-GB"/>
        </w:rPr>
        <w:t xml:space="preserve">to </w:t>
      </w:r>
      <w:r w:rsidRPr="00EE2DA8" w:rsidR="00006AEA">
        <w:rPr>
          <w:lang w:val="en-GB"/>
        </w:rPr>
        <w:t xml:space="preserve">ensure access to pharmaceuticals </w:t>
      </w:r>
      <w:r w:rsidRPr="00EE2DA8" w:rsidR="00331F8A">
        <w:rPr>
          <w:lang w:val="en-GB"/>
        </w:rPr>
        <w:t xml:space="preserve">in </w:t>
      </w:r>
      <w:r w:rsidRPr="00EE2DA8" w:rsidR="007B0357">
        <w:rPr>
          <w:lang w:val="en-GB"/>
        </w:rPr>
        <w:t xml:space="preserve">times of </w:t>
      </w:r>
      <w:r w:rsidRPr="00EE2DA8" w:rsidR="00006AEA">
        <w:rPr>
          <w:lang w:val="en-GB"/>
        </w:rPr>
        <w:t>crisis;</w:t>
      </w:r>
    </w:p>
    <w:p w:rsidRPr="00EE2DA8" w:rsidR="00AE5025" w:rsidP="00402160" w:rsidRDefault="00AE5025" w14:paraId="1B1B8CED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AE5025" w:rsidP="00886903" w:rsidRDefault="00693D35" w14:paraId="44A76A0B" w14:textId="6E1F65F5">
      <w:pPr>
        <w:pStyle w:val="Heading1"/>
        <w:rPr>
          <w:lang w:val="en-GB"/>
        </w:rPr>
      </w:pPr>
      <w:r w:rsidRPr="00EE2DA8">
        <w:rPr>
          <w:lang w:val="en-GB"/>
        </w:rPr>
        <w:t>Supports a</w:t>
      </w:r>
      <w:r w:rsidRPr="00EE2DA8" w:rsidR="00AE5025">
        <w:rPr>
          <w:lang w:val="en-GB"/>
        </w:rPr>
        <w:t xml:space="preserve"> review </w:t>
      </w:r>
      <w:r w:rsidRPr="00EE2DA8" w:rsidR="009B2EED">
        <w:rPr>
          <w:lang w:val="en-GB"/>
        </w:rPr>
        <w:t xml:space="preserve">of </w:t>
      </w:r>
      <w:r w:rsidRPr="00EE2DA8" w:rsidR="00AE5025">
        <w:rPr>
          <w:lang w:val="en-GB"/>
        </w:rPr>
        <w:t xml:space="preserve">the </w:t>
      </w:r>
      <w:r w:rsidRPr="00EE2DA8">
        <w:rPr>
          <w:lang w:val="en-GB"/>
        </w:rPr>
        <w:t xml:space="preserve">European </w:t>
      </w:r>
      <w:r w:rsidRPr="00EE2DA8" w:rsidR="00AE5025">
        <w:rPr>
          <w:lang w:val="en-GB"/>
        </w:rPr>
        <w:t>Union</w:t>
      </w:r>
      <w:r w:rsidRPr="00EE2DA8">
        <w:rPr>
          <w:lang w:val="en-GB"/>
        </w:rPr>
        <w:t>'s role</w:t>
      </w:r>
      <w:r w:rsidRPr="00EE2DA8" w:rsidR="00AE5025">
        <w:rPr>
          <w:lang w:val="en-GB"/>
        </w:rPr>
        <w:t xml:space="preserve"> in public health policy in the context of the Conference on the Future of Europe</w:t>
      </w:r>
      <w:r w:rsidRPr="00EE2DA8" w:rsidR="00D02521">
        <w:rPr>
          <w:lang w:val="en-GB"/>
        </w:rPr>
        <w:t>,</w:t>
      </w:r>
      <w:r w:rsidRPr="00EE2DA8" w:rsidR="002F1B5E">
        <w:rPr>
          <w:lang w:val="en-GB"/>
        </w:rPr>
        <w:t xml:space="preserve"> </w:t>
      </w:r>
      <w:r w:rsidRPr="00EE2DA8" w:rsidR="00EB2D39">
        <w:rPr>
          <w:lang w:val="en-GB"/>
        </w:rPr>
        <w:t xml:space="preserve">bearing </w:t>
      </w:r>
      <w:r w:rsidRPr="00EE2DA8" w:rsidR="002F1B5E">
        <w:rPr>
          <w:lang w:val="en-GB"/>
        </w:rPr>
        <w:t>in mind that</w:t>
      </w:r>
      <w:r w:rsidRPr="00EE2DA8" w:rsidR="006932A4">
        <w:rPr>
          <w:lang w:val="en-GB"/>
        </w:rPr>
        <w:t xml:space="preserve"> health policy is a primary competence of</w:t>
      </w:r>
      <w:r w:rsidRPr="00EE2DA8" w:rsidR="00AE5025">
        <w:rPr>
          <w:lang w:val="en-GB"/>
        </w:rPr>
        <w:t xml:space="preserve"> </w:t>
      </w:r>
      <w:r w:rsidRPr="00EE2DA8" w:rsidR="007B0357">
        <w:rPr>
          <w:lang w:val="en-GB"/>
        </w:rPr>
        <w:t xml:space="preserve">the </w:t>
      </w:r>
      <w:r w:rsidRPr="00EE2DA8" w:rsidR="00AE5025">
        <w:rPr>
          <w:lang w:val="en-GB"/>
        </w:rPr>
        <w:t>Member States</w:t>
      </w:r>
      <w:r w:rsidRPr="00EE2DA8" w:rsidR="006932A4">
        <w:rPr>
          <w:lang w:val="en-GB"/>
        </w:rPr>
        <w:t xml:space="preserve"> and is often dealt with </w:t>
      </w:r>
      <w:r w:rsidRPr="00EE2DA8" w:rsidR="00AE5025">
        <w:rPr>
          <w:lang w:val="en-GB"/>
        </w:rPr>
        <w:t xml:space="preserve">at </w:t>
      </w:r>
      <w:r w:rsidRPr="00EE2DA8" w:rsidR="009C4D3D">
        <w:rPr>
          <w:lang w:val="en-GB"/>
        </w:rPr>
        <w:t xml:space="preserve">the </w:t>
      </w:r>
      <w:r w:rsidRPr="00EE2DA8" w:rsidR="002F1B5E">
        <w:rPr>
          <w:lang w:val="en-GB"/>
        </w:rPr>
        <w:t>subnational</w:t>
      </w:r>
      <w:r w:rsidRPr="00EE2DA8" w:rsidR="00AE5025">
        <w:rPr>
          <w:lang w:val="en-GB"/>
        </w:rPr>
        <w:t xml:space="preserve"> level;</w:t>
      </w:r>
    </w:p>
    <w:p w:rsidRPr="00EE2DA8" w:rsidR="00AE5025" w:rsidP="00402160" w:rsidRDefault="00AE5025" w14:paraId="659BFB3D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AE5025" w:rsidP="00886903" w:rsidRDefault="00AE5025" w14:paraId="2C024BCC" w14:textId="45974B0F">
      <w:pPr>
        <w:pStyle w:val="Heading1"/>
        <w:rPr>
          <w:lang w:val="en-GB"/>
        </w:rPr>
      </w:pPr>
      <w:r w:rsidRPr="00EE2DA8">
        <w:rPr>
          <w:lang w:val="en-GB"/>
        </w:rPr>
        <w:t>Expects its opinion on the rights of patients in cross-border healthcare</w:t>
      </w:r>
      <w:r w:rsidRPr="00EE2DA8" w:rsidR="00EB2D39">
        <w:rPr>
          <w:lang w:val="en-GB"/>
        </w:rPr>
        <w:t>,</w:t>
      </w:r>
      <w:r w:rsidRPr="00EE2DA8">
        <w:rPr>
          <w:lang w:val="en-GB"/>
        </w:rPr>
        <w:t xml:space="preserve"> as well as the results</w:t>
      </w:r>
      <w:r w:rsidRPr="00EE2DA8" w:rsidR="009C4D3D">
        <w:rPr>
          <w:lang w:val="en-GB"/>
        </w:rPr>
        <w:t xml:space="preserve"> of the</w:t>
      </w:r>
      <w:r w:rsidRPr="00EE2DA8">
        <w:rPr>
          <w:lang w:val="en-GB"/>
        </w:rPr>
        <w:t xml:space="preserve"> 3</w:t>
      </w:r>
      <w:r w:rsidRPr="00A574FF" w:rsidR="00A8155A">
        <w:rPr>
          <w:lang w:val="en-GB"/>
        </w:rPr>
        <w:t>rd</w:t>
      </w:r>
      <w:r w:rsidRPr="00EE2DA8">
        <w:rPr>
          <w:lang w:val="en-GB"/>
        </w:rPr>
        <w:t xml:space="preserve"> RegHub consultation to</w:t>
      </w:r>
      <w:r w:rsidRPr="00EE2DA8" w:rsidR="00016480">
        <w:rPr>
          <w:lang w:val="en-GB"/>
        </w:rPr>
        <w:t xml:space="preserve"> be reflected in the</w:t>
      </w:r>
      <w:r w:rsidRPr="00EE2DA8">
        <w:rPr>
          <w:lang w:val="en-GB"/>
        </w:rPr>
        <w:t xml:space="preserve"> 3rd report on the</w:t>
      </w:r>
      <w:r w:rsidRPr="00EE2DA8" w:rsidR="00016480">
        <w:rPr>
          <w:lang w:val="en-GB"/>
        </w:rPr>
        <w:t xml:space="preserve"> operation of the Directive due in </w:t>
      </w:r>
      <w:r w:rsidRPr="00EE2DA8">
        <w:rPr>
          <w:lang w:val="en-GB"/>
        </w:rPr>
        <w:t xml:space="preserve">2022; </w:t>
      </w:r>
    </w:p>
    <w:p w:rsidRPr="00EE2DA8" w:rsidR="00AE5025" w:rsidP="00402160" w:rsidRDefault="00AE5025" w14:paraId="6F229584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AE5025" w:rsidP="00886903" w:rsidRDefault="00E34A9B" w14:paraId="1CCEE2F0" w14:textId="58275D62">
      <w:pPr>
        <w:pStyle w:val="Heading1"/>
        <w:rPr>
          <w:lang w:val="en-GB"/>
        </w:rPr>
      </w:pPr>
      <w:r w:rsidRPr="00EE2DA8">
        <w:rPr>
          <w:lang w:val="en-GB"/>
        </w:rPr>
        <w:t>L</w:t>
      </w:r>
      <w:r w:rsidRPr="00EE2DA8" w:rsidR="000909F4">
        <w:rPr>
          <w:lang w:val="en-GB"/>
        </w:rPr>
        <w:t xml:space="preserve">ooks forward to contributing to the Commission's proposal for </w:t>
      </w:r>
      <w:r w:rsidRPr="00EE2DA8" w:rsidR="003C4194">
        <w:rPr>
          <w:lang w:val="en-GB"/>
        </w:rPr>
        <w:t>a</w:t>
      </w:r>
      <w:r w:rsidRPr="00EE2DA8" w:rsidR="00AE5025">
        <w:rPr>
          <w:lang w:val="en-GB"/>
        </w:rPr>
        <w:t xml:space="preserve"> European vaccination calendar and card to ensure all Europeans have the right to </w:t>
      </w:r>
      <w:r w:rsidRPr="00EE2DA8" w:rsidR="00284A47">
        <w:rPr>
          <w:lang w:val="en-GB"/>
        </w:rPr>
        <w:t>–</w:t>
      </w:r>
      <w:r w:rsidRPr="00EE2DA8" w:rsidR="00AE5025">
        <w:rPr>
          <w:lang w:val="en-GB"/>
        </w:rPr>
        <w:t xml:space="preserve"> and proof of – protection offered through inoculation, </w:t>
      </w:r>
      <w:r w:rsidRPr="00EE2DA8" w:rsidR="00EB2D39">
        <w:rPr>
          <w:lang w:val="en-GB"/>
        </w:rPr>
        <w:t xml:space="preserve">regardless </w:t>
      </w:r>
      <w:r w:rsidRPr="00EE2DA8" w:rsidR="00AE5025">
        <w:rPr>
          <w:lang w:val="en-GB"/>
        </w:rPr>
        <w:t>of where they live;</w:t>
      </w:r>
    </w:p>
    <w:p w:rsidRPr="00EE2DA8" w:rsidR="00AE5025" w:rsidP="00402160" w:rsidRDefault="00AE5025" w14:paraId="47E4DFF0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4C3A4E" w:rsidP="00886903" w:rsidRDefault="00AE5025" w14:paraId="02FAEBB0" w14:textId="793657C2">
      <w:pPr>
        <w:pStyle w:val="Heading1"/>
        <w:rPr>
          <w:lang w:val="en-GB"/>
        </w:rPr>
      </w:pPr>
      <w:r w:rsidRPr="00EE2DA8">
        <w:rPr>
          <w:lang w:val="en-GB"/>
        </w:rPr>
        <w:t>Urges the Commission to move ahead with the establishment and development of Union disaster resilience goals in the area of civil protection</w:t>
      </w:r>
      <w:r w:rsidRPr="00EE2DA8" w:rsidR="00EB2D39">
        <w:rPr>
          <w:lang w:val="en-GB"/>
        </w:rPr>
        <w:t>,</w:t>
      </w:r>
      <w:r w:rsidRPr="00EE2DA8">
        <w:rPr>
          <w:lang w:val="en-GB"/>
        </w:rPr>
        <w:t xml:space="preserve"> as non-binding objectives to support prevention and preparedness actions, while emphasising that this needs to be done in cooperation not only </w:t>
      </w:r>
      <w:r w:rsidRPr="00EE2DA8" w:rsidR="00E34A9B">
        <w:rPr>
          <w:lang w:val="en-GB"/>
        </w:rPr>
        <w:t xml:space="preserve">with </w:t>
      </w:r>
      <w:r w:rsidRPr="00EE2DA8" w:rsidR="00370E90">
        <w:rPr>
          <w:lang w:val="en-GB"/>
        </w:rPr>
        <w:t xml:space="preserve">national governments </w:t>
      </w:r>
      <w:r w:rsidRPr="00EE2DA8">
        <w:rPr>
          <w:lang w:val="en-GB"/>
        </w:rPr>
        <w:t xml:space="preserve">but also </w:t>
      </w:r>
      <w:r w:rsidRPr="00EE2DA8" w:rsidR="00E34A9B">
        <w:rPr>
          <w:lang w:val="en-GB"/>
        </w:rPr>
        <w:t xml:space="preserve">with </w:t>
      </w:r>
      <w:r w:rsidRPr="00EE2DA8">
        <w:rPr>
          <w:lang w:val="en-GB"/>
        </w:rPr>
        <w:t>local and regional authorities</w:t>
      </w:r>
      <w:r w:rsidRPr="00EE2DA8" w:rsidR="002E280E">
        <w:rPr>
          <w:lang w:val="en-GB"/>
        </w:rPr>
        <w:t>;</w:t>
      </w:r>
      <w:r w:rsidRPr="00EE2DA8" w:rsidR="009B57E1">
        <w:rPr>
          <w:lang w:val="en-GB"/>
        </w:rPr>
        <w:t xml:space="preserve"> is also looking forward to the full implementation of the Union Civil Protection Knowledge Network and urges the Commission to include disaster management expertise </w:t>
      </w:r>
      <w:r w:rsidRPr="00EE2DA8" w:rsidR="00EB2D39">
        <w:rPr>
          <w:lang w:val="en-GB"/>
        </w:rPr>
        <w:t xml:space="preserve">that is </w:t>
      </w:r>
      <w:r w:rsidRPr="00EE2DA8" w:rsidR="009B57E1">
        <w:rPr>
          <w:lang w:val="en-GB"/>
        </w:rPr>
        <w:t xml:space="preserve">also </w:t>
      </w:r>
      <w:r w:rsidRPr="00EE2DA8" w:rsidR="00EB2D39">
        <w:rPr>
          <w:lang w:val="en-GB"/>
        </w:rPr>
        <w:t xml:space="preserve">available </w:t>
      </w:r>
      <w:r w:rsidRPr="00EE2DA8" w:rsidR="009B57E1">
        <w:rPr>
          <w:lang w:val="en-GB"/>
        </w:rPr>
        <w:t>at subnational level</w:t>
      </w:r>
      <w:r w:rsidRPr="00EE2DA8" w:rsidR="009C4D3D">
        <w:rPr>
          <w:lang w:val="en-GB"/>
        </w:rPr>
        <w:t>.</w:t>
      </w:r>
      <w:r w:rsidRPr="00EE2DA8" w:rsidR="009B57E1">
        <w:rPr>
          <w:lang w:val="en-GB"/>
        </w:rPr>
        <w:t xml:space="preserve"> </w:t>
      </w:r>
      <w:r w:rsidRPr="00EE2DA8" w:rsidR="009C4D3D">
        <w:rPr>
          <w:lang w:val="en-GB"/>
        </w:rPr>
        <w:t>F</w:t>
      </w:r>
      <w:r w:rsidRPr="00EE2DA8" w:rsidR="009B57E1">
        <w:rPr>
          <w:lang w:val="en-GB"/>
        </w:rPr>
        <w:t>urthermore, expects a clear plan for long-term commitment and financial reinforcement of the EU Civil Protection Mechanism and its instruments, such as rescEU and the European Medical Corps;</w:t>
      </w:r>
    </w:p>
    <w:p w:rsidRPr="00EE2DA8" w:rsidR="004C3A4E" w:rsidP="00402160" w:rsidRDefault="004C3A4E" w14:paraId="062B2006" w14:textId="77777777">
      <w:pPr>
        <w:suppressAutoHyphens/>
        <w:rPr>
          <w:lang w:val="en-GB"/>
        </w:rPr>
      </w:pPr>
    </w:p>
    <w:p w:rsidRPr="00EE2DA8" w:rsidR="004E2A4B" w:rsidP="00886903" w:rsidRDefault="00AE5025" w14:paraId="1717DD69" w14:textId="4DF53E13">
      <w:pPr>
        <w:pStyle w:val="Heading1"/>
        <w:rPr>
          <w:lang w:val="en-GB"/>
        </w:rPr>
      </w:pPr>
      <w:r w:rsidRPr="00EE2DA8">
        <w:rPr>
          <w:lang w:val="en-GB"/>
        </w:rPr>
        <w:t>Reiterates its calls for a new strategy for European tourism</w:t>
      </w:r>
      <w:r w:rsidRPr="00EE2DA8" w:rsidR="001F2910">
        <w:rPr>
          <w:lang w:val="en-GB"/>
        </w:rPr>
        <w:t xml:space="preserve"> and </w:t>
      </w:r>
      <w:r w:rsidRPr="00EE2DA8" w:rsidR="00EB2D39">
        <w:rPr>
          <w:lang w:val="en-GB"/>
        </w:rPr>
        <w:t xml:space="preserve">asks </w:t>
      </w:r>
      <w:r w:rsidRPr="00EE2DA8">
        <w:rPr>
          <w:lang w:val="en-GB"/>
        </w:rPr>
        <w:t xml:space="preserve">the Commission to come forward with </w:t>
      </w:r>
      <w:r w:rsidRPr="00EE2DA8" w:rsidR="00924623">
        <w:rPr>
          <w:lang w:val="en-GB"/>
        </w:rPr>
        <w:t xml:space="preserve">a </w:t>
      </w:r>
      <w:r w:rsidRPr="00EE2DA8">
        <w:rPr>
          <w:lang w:val="en-GB"/>
        </w:rPr>
        <w:t>European Agenda for Tourism 2030/2050</w:t>
      </w:r>
      <w:r w:rsidRPr="00EE2DA8" w:rsidR="002C6FD5">
        <w:rPr>
          <w:lang w:val="en-GB"/>
        </w:rPr>
        <w:t>,</w:t>
      </w:r>
      <w:r w:rsidRPr="00EE2DA8">
        <w:rPr>
          <w:lang w:val="en-GB"/>
        </w:rPr>
        <w:t xml:space="preserve"> in order to support the green and digital transitions of the European tourism ecosystem and </w:t>
      </w:r>
      <w:r w:rsidRPr="00EE2DA8" w:rsidR="00924623">
        <w:rPr>
          <w:lang w:val="en-GB"/>
        </w:rPr>
        <w:t xml:space="preserve">to </w:t>
      </w:r>
      <w:r w:rsidRPr="00EE2DA8">
        <w:rPr>
          <w:lang w:val="en-GB"/>
        </w:rPr>
        <w:t>strengthen its competitiveness</w:t>
      </w:r>
      <w:r w:rsidRPr="00EE2DA8" w:rsidR="002C6FD5">
        <w:rPr>
          <w:lang w:val="en-GB"/>
        </w:rPr>
        <w:t xml:space="preserve">; </w:t>
      </w:r>
    </w:p>
    <w:p w:rsidRPr="00EE2DA8" w:rsidR="004C3A4E" w:rsidP="004C3A4E" w:rsidRDefault="004C3A4E" w14:paraId="4D3EB394" w14:textId="7B5DCC37">
      <w:pPr>
        <w:rPr>
          <w:lang w:val="en-GB"/>
        </w:rPr>
      </w:pPr>
    </w:p>
    <w:p w:rsidRPr="00EE2DA8" w:rsidR="004E2A4B" w:rsidP="00A574FF" w:rsidRDefault="004C3A4E" w14:paraId="0995BCD2" w14:textId="0FA5D946">
      <w:pPr>
        <w:pStyle w:val="Heading1"/>
        <w:keepNext/>
        <w:numPr>
          <w:ilvl w:val="0"/>
          <w:numId w:val="0"/>
        </w:numPr>
        <w:rPr>
          <w:i/>
          <w:lang w:val="en-GB"/>
        </w:rPr>
      </w:pPr>
      <w:r w:rsidRPr="00EE2DA8">
        <w:rPr>
          <w:i/>
          <w:lang w:val="en-GB"/>
        </w:rPr>
        <w:t>External cooperation</w:t>
      </w:r>
    </w:p>
    <w:p w:rsidRPr="00EE2DA8" w:rsidR="004C3A4E" w:rsidP="00A574FF" w:rsidRDefault="004C3A4E" w14:paraId="688CFDE3" w14:textId="77777777">
      <w:pPr>
        <w:keepNext/>
        <w:rPr>
          <w:lang w:val="en-GB"/>
        </w:rPr>
      </w:pPr>
    </w:p>
    <w:p w:rsidRPr="00EE2DA8" w:rsidR="004C3A4E" w:rsidP="00A574FF" w:rsidRDefault="004C3A4E" w14:paraId="26CAA7AC" w14:textId="6438109A">
      <w:pPr>
        <w:pStyle w:val="Heading1"/>
        <w:keepNext/>
        <w:rPr>
          <w:lang w:val="en-GB"/>
        </w:rPr>
      </w:pPr>
      <w:r w:rsidRPr="00EE2DA8">
        <w:rPr>
          <w:lang w:val="en-GB"/>
        </w:rPr>
        <w:t xml:space="preserve">Regrets that the Trade and Cooperation Agreement </w:t>
      </w:r>
      <w:r w:rsidRPr="00EE2DA8" w:rsidR="00EB2D39">
        <w:rPr>
          <w:lang w:val="en-GB"/>
        </w:rPr>
        <w:t xml:space="preserve">signed </w:t>
      </w:r>
      <w:r w:rsidRPr="00EE2DA8">
        <w:rPr>
          <w:lang w:val="en-GB"/>
        </w:rPr>
        <w:t xml:space="preserve">on 24 December 2020 between the EU and the UK does not </w:t>
      </w:r>
      <w:r w:rsidRPr="00EE2DA8" w:rsidR="00EB2D39">
        <w:rPr>
          <w:lang w:val="en-GB"/>
        </w:rPr>
        <w:t xml:space="preserve">provide for </w:t>
      </w:r>
      <w:r w:rsidRPr="00EE2DA8">
        <w:rPr>
          <w:lang w:val="en-GB"/>
        </w:rPr>
        <w:t>any specific or structured involvement for local and regional authorities</w:t>
      </w:r>
      <w:r w:rsidRPr="00EE2DA8" w:rsidR="00254A63">
        <w:rPr>
          <w:lang w:val="en-GB"/>
        </w:rPr>
        <w:t>;</w:t>
      </w:r>
      <w:r w:rsidRPr="00EE2DA8">
        <w:rPr>
          <w:lang w:val="en-GB"/>
        </w:rPr>
        <w:t xml:space="preserve"> </w:t>
      </w:r>
      <w:r w:rsidRPr="00EE2DA8" w:rsidR="00254A63">
        <w:rPr>
          <w:lang w:val="en-GB"/>
        </w:rPr>
        <w:t>h</w:t>
      </w:r>
      <w:r w:rsidRPr="00EE2DA8">
        <w:rPr>
          <w:lang w:val="en-GB"/>
        </w:rPr>
        <w:t xml:space="preserve">owever, the CoR will, in particular through the political work of the CoR-UK Contact Group, reflect on ways to ensure the continuity of our cooperation with </w:t>
      </w:r>
      <w:r w:rsidRPr="00EE2DA8" w:rsidR="009C4D3D">
        <w:rPr>
          <w:lang w:val="en-GB"/>
        </w:rPr>
        <w:t xml:space="preserve">the </w:t>
      </w:r>
      <w:r w:rsidRPr="00EE2DA8">
        <w:rPr>
          <w:lang w:val="en-GB"/>
        </w:rPr>
        <w:t>UK's devolved admin</w:t>
      </w:r>
      <w:r w:rsidRPr="00EE2DA8" w:rsidR="009C4D3D">
        <w:rPr>
          <w:lang w:val="en-GB"/>
        </w:rPr>
        <w:t>istrations and local governance</w:t>
      </w:r>
      <w:r w:rsidRPr="00EE2DA8" w:rsidR="00254A63">
        <w:rPr>
          <w:lang w:val="en-GB"/>
        </w:rPr>
        <w:t>; a</w:t>
      </w:r>
      <w:r w:rsidRPr="00EE2DA8">
        <w:rPr>
          <w:lang w:val="en-GB"/>
        </w:rPr>
        <w:t>lso calls on the Commission to closely monitor the involvement of local and regional authorities in the implementation of the Brexit Adjustment Reserve;</w:t>
      </w:r>
    </w:p>
    <w:p w:rsidRPr="00EE2DA8" w:rsidR="004C3A4E" w:rsidP="004C3A4E" w:rsidRDefault="004C3A4E" w14:paraId="5DAB9372" w14:textId="77777777">
      <w:pPr>
        <w:rPr>
          <w:lang w:val="en-GB"/>
        </w:rPr>
      </w:pPr>
    </w:p>
    <w:p w:rsidRPr="00EE2DA8" w:rsidR="004E2A4B" w:rsidP="00886903" w:rsidRDefault="003C4194" w14:paraId="56149A0F" w14:textId="1417AB50">
      <w:pPr>
        <w:pStyle w:val="Heading1"/>
        <w:rPr>
          <w:lang w:val="en-GB"/>
        </w:rPr>
      </w:pPr>
      <w:r w:rsidRPr="00EE2DA8">
        <w:rPr>
          <w:lang w:val="en-GB"/>
        </w:rPr>
        <w:t>C</w:t>
      </w:r>
      <w:r w:rsidRPr="00EE2DA8" w:rsidR="004E2A4B">
        <w:rPr>
          <w:lang w:val="en-GB"/>
        </w:rPr>
        <w:t xml:space="preserve">alls for the establishment of sustained and structured support </w:t>
      </w:r>
      <w:r w:rsidRPr="00EE2DA8" w:rsidR="00EB2D39">
        <w:rPr>
          <w:lang w:val="en-GB"/>
        </w:rPr>
        <w:t xml:space="preserve">by </w:t>
      </w:r>
      <w:r w:rsidRPr="00EE2DA8" w:rsidR="004E2A4B">
        <w:rPr>
          <w:lang w:val="en-GB"/>
        </w:rPr>
        <w:t xml:space="preserve">the Commission </w:t>
      </w:r>
      <w:r w:rsidRPr="00EE2DA8" w:rsidR="007741A0">
        <w:rPr>
          <w:lang w:val="en-GB"/>
        </w:rPr>
        <w:t>for</w:t>
      </w:r>
      <w:r w:rsidRPr="00EE2DA8" w:rsidR="004E2A4B">
        <w:rPr>
          <w:lang w:val="en-GB"/>
        </w:rPr>
        <w:t xml:space="preserve"> peer-to-peer cooperation </w:t>
      </w:r>
      <w:r w:rsidRPr="00EE2DA8" w:rsidR="00201FCE">
        <w:rPr>
          <w:lang w:val="en-GB"/>
        </w:rPr>
        <w:t xml:space="preserve">between </w:t>
      </w:r>
      <w:r w:rsidRPr="00EE2DA8" w:rsidR="004E2A4B">
        <w:rPr>
          <w:lang w:val="en-GB"/>
        </w:rPr>
        <w:t xml:space="preserve">local authorities in the Western Balkans and their counterparts in the EU Member States, in close cooperation with the CoR, and in particular through its joint consultative committees </w:t>
      </w:r>
      <w:r w:rsidRPr="00EE2DA8" w:rsidR="002C6FD5">
        <w:rPr>
          <w:lang w:val="en-GB"/>
        </w:rPr>
        <w:t>with Montenegro, North Macedonia and Serbia</w:t>
      </w:r>
      <w:r w:rsidRPr="00EE2DA8" w:rsidR="00EB2D39">
        <w:rPr>
          <w:lang w:val="en-GB"/>
        </w:rPr>
        <w:t>,</w:t>
      </w:r>
      <w:r w:rsidRPr="00EE2DA8" w:rsidR="002C6FD5">
        <w:rPr>
          <w:lang w:val="en-GB"/>
        </w:rPr>
        <w:t xml:space="preserve"> as well as </w:t>
      </w:r>
      <w:r w:rsidRPr="00EE2DA8" w:rsidR="004E2A4B">
        <w:rPr>
          <w:lang w:val="en-GB"/>
        </w:rPr>
        <w:t>the working group for the Western Balkans</w:t>
      </w:r>
      <w:r w:rsidRPr="00EE2DA8" w:rsidR="002C6FD5">
        <w:rPr>
          <w:lang w:val="en-GB"/>
        </w:rPr>
        <w:t>;</w:t>
      </w:r>
      <w:r w:rsidRPr="00EE2DA8" w:rsidR="004E2A4B">
        <w:rPr>
          <w:lang w:val="en-GB"/>
        </w:rPr>
        <w:t xml:space="preserve"> </w:t>
      </w:r>
    </w:p>
    <w:p w:rsidRPr="00EE2DA8" w:rsidR="004E2A4B" w:rsidP="00402160" w:rsidRDefault="004E2A4B" w14:paraId="6F671E2B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8629EC" w:rsidP="00886903" w:rsidRDefault="003C4194" w14:paraId="61FD46F6" w14:textId="2B69BD50">
      <w:pPr>
        <w:pStyle w:val="Heading1"/>
        <w:rPr>
          <w:lang w:val="en-GB"/>
        </w:rPr>
      </w:pPr>
      <w:r w:rsidRPr="00EE2DA8">
        <w:rPr>
          <w:lang w:val="en-GB"/>
        </w:rPr>
        <w:t>W</w:t>
      </w:r>
      <w:r w:rsidRPr="00EE2DA8" w:rsidR="004E2A4B">
        <w:rPr>
          <w:lang w:val="en-GB"/>
        </w:rPr>
        <w:t xml:space="preserve">elcomes the </w:t>
      </w:r>
      <w:r w:rsidRPr="00EE2DA8" w:rsidR="008629EC">
        <w:rPr>
          <w:lang w:val="en-GB"/>
        </w:rPr>
        <w:t xml:space="preserve">decision to launch the Eastern Partnership Academy for Public Administration, and </w:t>
      </w:r>
      <w:r w:rsidRPr="00EE2DA8" w:rsidR="004E2A4B">
        <w:rPr>
          <w:lang w:val="en-GB"/>
        </w:rPr>
        <w:t>the local and regional authorities' reinforced role in the implementation of Eastern Partnership policies, strategies and flagship initiatives</w:t>
      </w:r>
      <w:r w:rsidRPr="00EE2DA8" w:rsidR="008629EC">
        <w:rPr>
          <w:lang w:val="en-GB"/>
        </w:rPr>
        <w:t>;</w:t>
      </w:r>
    </w:p>
    <w:p w:rsidRPr="00EE2DA8" w:rsidR="004E2A4B" w:rsidP="00402160" w:rsidRDefault="004E2A4B" w14:paraId="4C984892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4E2A4B" w:rsidP="00886903" w:rsidRDefault="003C4194" w14:paraId="0924F6E3" w14:textId="0073F3FE">
      <w:pPr>
        <w:pStyle w:val="Heading1"/>
        <w:rPr>
          <w:lang w:val="en-GB"/>
        </w:rPr>
      </w:pPr>
      <w:r w:rsidRPr="00EE2DA8">
        <w:rPr>
          <w:lang w:val="en-GB"/>
        </w:rPr>
        <w:t>W</w:t>
      </w:r>
      <w:r w:rsidRPr="00EE2DA8" w:rsidR="004E2A4B">
        <w:rPr>
          <w:lang w:val="en-GB"/>
        </w:rPr>
        <w:t xml:space="preserve">hen implementing the renewed partnership with the Southern Neighbourhood, urges all the EU institutions to consider local and regional authorities as key </w:t>
      </w:r>
      <w:r w:rsidRPr="00EE2DA8" w:rsidR="00A82CF3">
        <w:rPr>
          <w:lang w:val="en-GB"/>
        </w:rPr>
        <w:t>partners</w:t>
      </w:r>
      <w:r w:rsidRPr="00EE2DA8" w:rsidR="004E2A4B">
        <w:rPr>
          <w:lang w:val="en-GB"/>
        </w:rPr>
        <w:t xml:space="preserve"> for sustainable development and programming, in order to create new dynamics for decentralisation reforms</w:t>
      </w:r>
      <w:r w:rsidRPr="00EE2DA8" w:rsidR="002E280E">
        <w:rPr>
          <w:lang w:val="en-GB"/>
        </w:rPr>
        <w:t xml:space="preserve">; </w:t>
      </w:r>
    </w:p>
    <w:p w:rsidRPr="00EE2DA8" w:rsidR="004E2A4B" w:rsidP="00402160" w:rsidRDefault="004E2A4B" w14:paraId="6A2020E1" w14:textId="77777777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4E2A4B" w:rsidP="00886903" w:rsidRDefault="003C4194" w14:paraId="6D9A3D57" w14:textId="168250CB">
      <w:pPr>
        <w:pStyle w:val="Heading1"/>
        <w:rPr>
          <w:lang w:val="en-GB"/>
        </w:rPr>
      </w:pPr>
      <w:r w:rsidRPr="00EE2DA8">
        <w:rPr>
          <w:lang w:val="en-GB"/>
        </w:rPr>
        <w:t>C</w:t>
      </w:r>
      <w:r w:rsidRPr="00EE2DA8" w:rsidR="004E2A4B">
        <w:rPr>
          <w:lang w:val="en-GB"/>
        </w:rPr>
        <w:t xml:space="preserve">alls on the Commission to </w:t>
      </w:r>
      <w:r w:rsidRPr="00EE2DA8" w:rsidR="007913C3">
        <w:rPr>
          <w:lang w:val="en-GB"/>
        </w:rPr>
        <w:t>recognise</w:t>
      </w:r>
      <w:r w:rsidRPr="00EE2DA8" w:rsidR="004E2A4B">
        <w:rPr>
          <w:lang w:val="en-GB"/>
        </w:rPr>
        <w:t xml:space="preserve"> the role that local and regional authorities can play in contributing to peace and prosperity in third countries</w:t>
      </w:r>
      <w:r w:rsidRPr="00EE2DA8" w:rsidR="0039476F">
        <w:rPr>
          <w:lang w:val="en-GB"/>
        </w:rPr>
        <w:t>,</w:t>
      </w:r>
      <w:r w:rsidRPr="00A574FF" w:rsidR="00A82CF3">
        <w:rPr>
          <w:lang w:val="en-GB"/>
        </w:rPr>
        <w:t xml:space="preserve"> </w:t>
      </w:r>
      <w:r w:rsidRPr="00EE2DA8" w:rsidR="00A82CF3">
        <w:rPr>
          <w:lang w:val="en-GB"/>
        </w:rPr>
        <w:t>with initiatives such as the</w:t>
      </w:r>
      <w:r w:rsidRPr="00EE2DA8" w:rsidR="004E2A4B">
        <w:rPr>
          <w:lang w:val="en-GB"/>
        </w:rPr>
        <w:t xml:space="preserve"> Nicosia Initiative</w:t>
      </w:r>
      <w:r w:rsidRPr="00EE2DA8" w:rsidR="0039476F">
        <w:rPr>
          <w:lang w:val="en-GB"/>
        </w:rPr>
        <w:t xml:space="preserve"> – </w:t>
      </w:r>
      <w:r w:rsidRPr="00EE2DA8" w:rsidR="004E2A4B">
        <w:rPr>
          <w:lang w:val="en-GB"/>
        </w:rPr>
        <w:t>a concrete example of peer-to-peer cooperation</w:t>
      </w:r>
      <w:r w:rsidRPr="00EE2DA8" w:rsidR="00547152">
        <w:rPr>
          <w:lang w:val="en-GB"/>
        </w:rPr>
        <w:t>,</w:t>
      </w:r>
      <w:r w:rsidRPr="00EE2DA8" w:rsidR="004E2A4B">
        <w:rPr>
          <w:lang w:val="en-GB"/>
        </w:rPr>
        <w:t xml:space="preserve"> which has been contributing to creating trust and keeping an internal dialogue open among </w:t>
      </w:r>
      <w:r w:rsidRPr="00EE2DA8" w:rsidR="00A82CF3">
        <w:rPr>
          <w:lang w:val="en-GB"/>
        </w:rPr>
        <w:t xml:space="preserve">regional and </w:t>
      </w:r>
      <w:r w:rsidRPr="00EE2DA8" w:rsidR="004E2A4B">
        <w:rPr>
          <w:lang w:val="en-GB"/>
        </w:rPr>
        <w:t xml:space="preserve">local authorities; </w:t>
      </w:r>
    </w:p>
    <w:p w:rsidRPr="00EE2DA8" w:rsidR="00DB3026" w:rsidP="00402160" w:rsidRDefault="00DB3026" w14:paraId="43B7E332" w14:textId="2EC6FAAB">
      <w:pPr>
        <w:suppressAutoHyphens/>
        <w:rPr>
          <w:lang w:val="en-GB"/>
        </w:rPr>
      </w:pPr>
    </w:p>
    <w:p w:rsidRPr="00EE2DA8" w:rsidR="004C3A4E" w:rsidP="00A574FF" w:rsidRDefault="004C3A4E" w14:paraId="228B2F0A" w14:textId="7A67CB2E">
      <w:pPr>
        <w:keepNext/>
        <w:suppressAutoHyphens/>
        <w:rPr>
          <w:i/>
          <w:lang w:val="en-GB"/>
        </w:rPr>
      </w:pPr>
      <w:r w:rsidRPr="00EE2DA8">
        <w:rPr>
          <w:i/>
          <w:lang w:val="en-GB"/>
        </w:rPr>
        <w:t xml:space="preserve">Subsidiarity </w:t>
      </w:r>
      <w:r w:rsidRPr="00EE2DA8" w:rsidR="00B30656">
        <w:rPr>
          <w:i/>
          <w:lang w:val="en-GB"/>
        </w:rPr>
        <w:t xml:space="preserve">and Future of Europe </w:t>
      </w:r>
    </w:p>
    <w:p w:rsidRPr="00EE2DA8" w:rsidR="004C3A4E" w:rsidP="00A574FF" w:rsidRDefault="004C3A4E" w14:paraId="00A6253B" w14:textId="77777777">
      <w:pPr>
        <w:keepNext/>
        <w:suppressAutoHyphens/>
        <w:rPr>
          <w:lang w:val="en-GB"/>
        </w:rPr>
      </w:pPr>
    </w:p>
    <w:p w:rsidRPr="00EE2DA8" w:rsidR="003C4194" w:rsidP="00A574FF" w:rsidRDefault="00F65279" w14:paraId="0093D35A" w14:textId="000A621D">
      <w:pPr>
        <w:pStyle w:val="Heading1"/>
        <w:keepNext/>
        <w:rPr>
          <w:lang w:val="en-GB"/>
        </w:rPr>
      </w:pPr>
      <w:r w:rsidRPr="00EE2DA8">
        <w:rPr>
          <w:lang w:val="en-GB"/>
        </w:rPr>
        <w:t>Reiterates its c</w:t>
      </w:r>
      <w:r w:rsidRPr="00EE2DA8" w:rsidR="003C4194">
        <w:rPr>
          <w:lang w:val="en-GB"/>
        </w:rPr>
        <w:t xml:space="preserve">all on the Commission to </w:t>
      </w:r>
      <w:r w:rsidRPr="00EE2DA8" w:rsidR="006A4216">
        <w:rPr>
          <w:lang w:val="en-GB"/>
        </w:rPr>
        <w:t xml:space="preserve">step </w:t>
      </w:r>
      <w:r w:rsidRPr="00EE2DA8" w:rsidR="003C4194">
        <w:rPr>
          <w:lang w:val="en-GB"/>
        </w:rPr>
        <w:t>up its work and its engagement with citizens and local and regional authorities in the framework of the Conference on the Future of Europe</w:t>
      </w:r>
      <w:r w:rsidRPr="00EE2DA8" w:rsidR="007D2026">
        <w:rPr>
          <w:lang w:val="en-GB"/>
        </w:rPr>
        <w:t xml:space="preserve"> and beyond</w:t>
      </w:r>
      <w:r w:rsidRPr="00EE2DA8" w:rsidR="003C4194">
        <w:rPr>
          <w:lang w:val="en-GB"/>
        </w:rPr>
        <w:t xml:space="preserve">, </w:t>
      </w:r>
      <w:r w:rsidRPr="00EE2DA8" w:rsidR="00547152">
        <w:rPr>
          <w:lang w:val="en-GB"/>
        </w:rPr>
        <w:t>and</w:t>
      </w:r>
      <w:r w:rsidRPr="00EE2DA8" w:rsidR="003C4194">
        <w:rPr>
          <w:lang w:val="en-GB"/>
        </w:rPr>
        <w:t xml:space="preserve"> to provide the appropriate tools to follow up on the recommendations </w:t>
      </w:r>
      <w:r w:rsidRPr="00EE2DA8" w:rsidR="00F72424">
        <w:rPr>
          <w:lang w:val="en-GB"/>
        </w:rPr>
        <w:t xml:space="preserve">from </w:t>
      </w:r>
      <w:r w:rsidRPr="00EE2DA8">
        <w:rPr>
          <w:lang w:val="en-GB"/>
        </w:rPr>
        <w:t xml:space="preserve">the </w:t>
      </w:r>
      <w:r w:rsidRPr="00EE2DA8" w:rsidR="003C4194">
        <w:rPr>
          <w:lang w:val="en-GB"/>
        </w:rPr>
        <w:t>Conference;</w:t>
      </w:r>
      <w:r w:rsidRPr="00A574FF" w:rsidR="004B4633">
        <w:rPr>
          <w:lang w:val="en-GB"/>
        </w:rPr>
        <w:t xml:space="preserve"> </w:t>
      </w:r>
      <w:r w:rsidRPr="00EE2DA8" w:rsidR="00547152">
        <w:rPr>
          <w:lang w:val="en-GB"/>
        </w:rPr>
        <w:t xml:space="preserve">invites </w:t>
      </w:r>
      <w:r w:rsidRPr="00EE2DA8" w:rsidR="004B4633">
        <w:rPr>
          <w:lang w:val="en-GB"/>
        </w:rPr>
        <w:t xml:space="preserve">the Commission to </w:t>
      </w:r>
      <w:r w:rsidRPr="00EE2DA8" w:rsidR="00414A76">
        <w:rPr>
          <w:lang w:val="en-GB"/>
        </w:rPr>
        <w:t xml:space="preserve">step up </w:t>
      </w:r>
      <w:r w:rsidRPr="00EE2DA8" w:rsidR="004B4633">
        <w:rPr>
          <w:lang w:val="en-GB"/>
        </w:rPr>
        <w:t xml:space="preserve">cooperation between its representation offices in the Member States and the CoR </w:t>
      </w:r>
      <w:r w:rsidRPr="00EE2DA8" w:rsidR="009C6D3F">
        <w:rPr>
          <w:lang w:val="en-GB"/>
        </w:rPr>
        <w:t xml:space="preserve">on </w:t>
      </w:r>
      <w:r w:rsidRPr="00EE2DA8" w:rsidR="004B4633">
        <w:rPr>
          <w:lang w:val="en-GB"/>
        </w:rPr>
        <w:t>org</w:t>
      </w:r>
      <w:r w:rsidRPr="00EE2DA8" w:rsidR="0059684D">
        <w:rPr>
          <w:lang w:val="en-GB"/>
        </w:rPr>
        <w:t>ani</w:t>
      </w:r>
      <w:r w:rsidRPr="00EE2DA8" w:rsidR="00547152">
        <w:rPr>
          <w:lang w:val="en-GB"/>
        </w:rPr>
        <w:t>s</w:t>
      </w:r>
      <w:r w:rsidRPr="00EE2DA8" w:rsidR="0059684D">
        <w:rPr>
          <w:lang w:val="en-GB"/>
        </w:rPr>
        <w:t>ing local dialogues beyond capitals</w:t>
      </w:r>
      <w:r w:rsidRPr="00EE2DA8" w:rsidR="004B4633">
        <w:rPr>
          <w:lang w:val="en-GB"/>
        </w:rPr>
        <w:t>;</w:t>
      </w:r>
    </w:p>
    <w:p w:rsidRPr="00EE2DA8" w:rsidR="00A85279" w:rsidP="008C21DD" w:rsidRDefault="00A85279" w14:paraId="421FE389" w14:textId="77777777">
      <w:pPr>
        <w:rPr>
          <w:lang w:val="en-GB"/>
        </w:rPr>
      </w:pPr>
    </w:p>
    <w:p w:rsidRPr="00EE2DA8" w:rsidR="00A85279" w:rsidP="00886903" w:rsidRDefault="004B4633" w14:paraId="5C68CF51" w14:textId="7DF672C5">
      <w:pPr>
        <w:pStyle w:val="Heading1"/>
        <w:rPr>
          <w:lang w:val="en-GB"/>
        </w:rPr>
      </w:pPr>
      <w:r w:rsidRPr="00EE2DA8">
        <w:rPr>
          <w:lang w:val="en-GB"/>
        </w:rPr>
        <w:t>C</w:t>
      </w:r>
      <w:r w:rsidRPr="00EE2DA8" w:rsidR="00A85279">
        <w:rPr>
          <w:lang w:val="en-GB"/>
        </w:rPr>
        <w:t>alls on t</w:t>
      </w:r>
      <w:r w:rsidRPr="00EE2DA8" w:rsidR="008C21DD">
        <w:rPr>
          <w:lang w:val="en-GB"/>
        </w:rPr>
        <w:t>he Commission to follow</w:t>
      </w:r>
      <w:r w:rsidRPr="00EE2DA8" w:rsidR="0039476F">
        <w:rPr>
          <w:lang w:val="en-GB"/>
        </w:rPr>
        <w:t xml:space="preserve"> </w:t>
      </w:r>
      <w:r w:rsidRPr="00EE2DA8" w:rsidR="008C21DD">
        <w:rPr>
          <w:lang w:val="en-GB"/>
        </w:rPr>
        <w:t xml:space="preserve">up on </w:t>
      </w:r>
      <w:r w:rsidRPr="00EE2DA8" w:rsidR="00A85279">
        <w:rPr>
          <w:lang w:val="en-GB"/>
        </w:rPr>
        <w:t xml:space="preserve">the legislative and non-legislative measures outlined in the European Democracy Action Plan, while including in their scope regional and local elections, local media and countering disinformation at </w:t>
      </w:r>
      <w:r w:rsidRPr="00EE2DA8" w:rsidR="009C4D3D">
        <w:rPr>
          <w:lang w:val="en-GB"/>
        </w:rPr>
        <w:t xml:space="preserve">the </w:t>
      </w:r>
      <w:r w:rsidRPr="00EE2DA8" w:rsidR="00A85279">
        <w:rPr>
          <w:lang w:val="en-GB"/>
        </w:rPr>
        <w:t>regional and local level</w:t>
      </w:r>
      <w:r w:rsidRPr="00EE2DA8" w:rsidR="009C4D3D">
        <w:rPr>
          <w:lang w:val="en-GB"/>
        </w:rPr>
        <w:t>s</w:t>
      </w:r>
      <w:r w:rsidRPr="00EE2DA8" w:rsidR="00A85279">
        <w:rPr>
          <w:lang w:val="en-GB"/>
        </w:rPr>
        <w:t>;</w:t>
      </w:r>
    </w:p>
    <w:p w:rsidRPr="00EE2DA8" w:rsidR="003C4194" w:rsidP="00402160" w:rsidRDefault="003C4194" w14:paraId="47312B5F" w14:textId="66906ED3">
      <w:pPr>
        <w:pStyle w:val="Heading1"/>
        <w:numPr>
          <w:ilvl w:val="0"/>
          <w:numId w:val="0"/>
        </w:numPr>
        <w:rPr>
          <w:lang w:val="en-GB"/>
        </w:rPr>
      </w:pPr>
    </w:p>
    <w:p w:rsidRPr="00EE2DA8" w:rsidR="003C4194" w:rsidP="00886903" w:rsidRDefault="006A4216" w14:paraId="4459A8D6" w14:textId="0AE52AB5">
      <w:pPr>
        <w:pStyle w:val="Heading1"/>
        <w:rPr>
          <w:lang w:val="en-GB"/>
        </w:rPr>
      </w:pPr>
      <w:r w:rsidRPr="00EE2DA8">
        <w:rPr>
          <w:lang w:val="en-GB"/>
        </w:rPr>
        <w:t>R</w:t>
      </w:r>
      <w:r w:rsidRPr="00EE2DA8" w:rsidR="003C4194">
        <w:rPr>
          <w:lang w:val="en-GB"/>
        </w:rPr>
        <w:t>emains committed to implement</w:t>
      </w:r>
      <w:r w:rsidRPr="00EE2DA8" w:rsidR="00955679">
        <w:rPr>
          <w:lang w:val="en-GB"/>
        </w:rPr>
        <w:t>ing</w:t>
      </w:r>
      <w:r w:rsidRPr="00EE2DA8" w:rsidR="003C4194">
        <w:rPr>
          <w:lang w:val="en-GB"/>
        </w:rPr>
        <w:t xml:space="preserve"> the recommendations of the Task Force on Subsidiarity, Proportionality and </w:t>
      </w:r>
      <w:r w:rsidRPr="00EE2DA8" w:rsidR="00955679">
        <w:rPr>
          <w:lang w:val="en-GB"/>
        </w:rPr>
        <w:t>'</w:t>
      </w:r>
      <w:r w:rsidRPr="00EE2DA8" w:rsidR="003C4194">
        <w:rPr>
          <w:lang w:val="en-GB"/>
        </w:rPr>
        <w:t>Doing Less More Efficiently</w:t>
      </w:r>
      <w:r w:rsidRPr="00EE2DA8" w:rsidR="00955679">
        <w:rPr>
          <w:lang w:val="en-GB"/>
        </w:rPr>
        <w:t>'</w:t>
      </w:r>
      <w:r w:rsidRPr="00EE2DA8" w:rsidR="003C4194">
        <w:rPr>
          <w:lang w:val="en-GB"/>
        </w:rPr>
        <w:t xml:space="preserve"> and the concept of 'active subsidiarity'</w:t>
      </w:r>
      <w:r w:rsidRPr="00EE2DA8" w:rsidR="0039476F">
        <w:rPr>
          <w:lang w:val="en-GB"/>
        </w:rPr>
        <w:t>;</w:t>
      </w:r>
      <w:r w:rsidRPr="00A574FF" w:rsidR="00D940A6">
        <w:rPr>
          <w:lang w:val="en-GB"/>
        </w:rPr>
        <w:t xml:space="preserve"> </w:t>
      </w:r>
      <w:r w:rsidRPr="00EE2DA8" w:rsidR="00D940A6">
        <w:rPr>
          <w:lang w:val="en-GB"/>
        </w:rPr>
        <w:t>calls for</w:t>
      </w:r>
      <w:r w:rsidRPr="00EE2DA8" w:rsidR="003C4194">
        <w:rPr>
          <w:lang w:val="en-GB"/>
        </w:rPr>
        <w:t xml:space="preserve"> </w:t>
      </w:r>
      <w:r w:rsidRPr="00EE2DA8" w:rsidR="001B1201">
        <w:rPr>
          <w:lang w:val="en-GB"/>
        </w:rPr>
        <w:t xml:space="preserve">the </w:t>
      </w:r>
      <w:r w:rsidRPr="00EE2DA8" w:rsidR="003C4194">
        <w:rPr>
          <w:lang w:val="en-GB"/>
        </w:rPr>
        <w:t xml:space="preserve">systematic use of the Subsidiarity Assessment Grid; </w:t>
      </w:r>
    </w:p>
    <w:p w:rsidRPr="00EE2DA8" w:rsidR="00016480" w:rsidP="00016480" w:rsidRDefault="00016480" w14:paraId="35CBFF27" w14:textId="6E08432C">
      <w:pPr>
        <w:rPr>
          <w:lang w:val="en-GB"/>
        </w:rPr>
      </w:pPr>
    </w:p>
    <w:p w:rsidRPr="00EE2DA8" w:rsidR="00016480" w:rsidP="00886903" w:rsidRDefault="00016480" w14:paraId="4E05DE2D" w14:textId="56D311B3">
      <w:pPr>
        <w:pStyle w:val="Heading1"/>
        <w:rPr>
          <w:lang w:val="en-GB"/>
        </w:rPr>
      </w:pPr>
      <w:r w:rsidRPr="00EE2DA8">
        <w:rPr>
          <w:lang w:val="en-GB"/>
        </w:rPr>
        <w:t>instructs its President to forward this resolution to the EU institutions and the Presidencies of the Council of the EU.</w:t>
      </w:r>
    </w:p>
    <w:p w:rsidRPr="00EE2DA8" w:rsidR="008A3B20" w:rsidP="00402160" w:rsidRDefault="008A3B20" w14:paraId="177043AF" w14:textId="44FF5B46">
      <w:pPr>
        <w:rPr>
          <w:lang w:val="en-GB"/>
        </w:rPr>
      </w:pPr>
    </w:p>
    <w:p w:rsidRPr="00EE2DA8" w:rsidR="009F7E4E" w:rsidP="00402160" w:rsidRDefault="009F7E4E" w14:paraId="48E13E6E" w14:textId="77777777">
      <w:pPr>
        <w:rPr>
          <w:lang w:val="en-GB"/>
        </w:rPr>
      </w:pPr>
    </w:p>
    <w:p w:rsidRPr="00EE2DA8" w:rsidR="008A3B20" w:rsidP="00402160" w:rsidRDefault="008A3B20" w14:paraId="0424E219" w14:textId="7A5AF5BD">
      <w:pPr>
        <w:keepNext/>
        <w:suppressAutoHyphens/>
        <w:rPr>
          <w:rFonts w:eastAsia="Arial Unicode MS"/>
          <w:lang w:val="en-GB"/>
        </w:rPr>
      </w:pPr>
      <w:r w:rsidRPr="00EE2DA8">
        <w:rPr>
          <w:rFonts w:eastAsia="Arial Unicode MS"/>
          <w:lang w:val="en-GB"/>
        </w:rPr>
        <w:t xml:space="preserve">Brussels, </w:t>
      </w:r>
    </w:p>
    <w:p w:rsidRPr="00EE2DA8" w:rsidR="009F7E4E" w:rsidP="00402160" w:rsidRDefault="009F7E4E" w14:paraId="16028E49" w14:textId="77777777">
      <w:pPr>
        <w:keepNext/>
        <w:suppressAutoHyphens/>
        <w:rPr>
          <w:rFonts w:eastAsia="Arial Unicode MS"/>
          <w:lang w:val="en-GB"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Pr="00EE2DA8" w:rsidR="003D7161" w:rsidTr="009F7E4E" w14:paraId="5E713F50" w14:textId="77777777">
        <w:trPr>
          <w:cantSplit/>
        </w:trPr>
        <w:tc>
          <w:tcPr>
            <w:tcW w:w="4621" w:type="dxa"/>
          </w:tcPr>
          <w:p w:rsidRPr="00EE2DA8" w:rsidR="009F7E4E" w:rsidP="00402160" w:rsidRDefault="008A3B20" w14:paraId="7B1938A5" w14:textId="043ECC2C">
            <w:pPr>
              <w:suppressAutoHyphens/>
              <w:jc w:val="center"/>
              <w:rPr>
                <w:rFonts w:eastAsia="Arial Unicode MS"/>
                <w:lang w:val="en-GB"/>
              </w:rPr>
            </w:pPr>
            <w:r w:rsidRPr="00EE2DA8">
              <w:rPr>
                <w:rFonts w:eastAsia="Arial Unicode MS"/>
                <w:lang w:val="en-GB"/>
              </w:rPr>
              <w:t xml:space="preserve">The </w:t>
            </w:r>
            <w:r w:rsidRPr="00EE2DA8" w:rsidR="003F54D9">
              <w:rPr>
                <w:rFonts w:eastAsia="Arial Unicode MS"/>
                <w:lang w:val="en-GB"/>
              </w:rPr>
              <w:t>P</w:t>
            </w:r>
            <w:r w:rsidRPr="00EE2DA8">
              <w:rPr>
                <w:rFonts w:eastAsia="Arial Unicode MS"/>
                <w:lang w:val="en-GB"/>
              </w:rPr>
              <w:t>resident</w:t>
            </w:r>
            <w:r w:rsidRPr="00EE2DA8">
              <w:rPr>
                <w:rFonts w:eastAsia="Arial Unicode MS"/>
                <w:lang w:val="en-GB"/>
              </w:rPr>
              <w:br/>
              <w:t>of the European Committee of the Regions</w:t>
            </w:r>
            <w:r w:rsidRPr="00EE2DA8">
              <w:rPr>
                <w:rFonts w:eastAsia="Arial Unicode MS"/>
                <w:lang w:val="en-GB"/>
              </w:rPr>
              <w:br/>
            </w:r>
          </w:p>
          <w:p w:rsidRPr="00EE2DA8" w:rsidR="009F7E4E" w:rsidP="00402160" w:rsidRDefault="009F7E4E" w14:paraId="119EFFA4" w14:textId="77777777">
            <w:pPr>
              <w:suppressAutoHyphens/>
              <w:jc w:val="center"/>
              <w:rPr>
                <w:rFonts w:eastAsia="Arial Unicode MS"/>
                <w:lang w:val="en-GB"/>
              </w:rPr>
            </w:pPr>
          </w:p>
          <w:p w:rsidRPr="00EE2DA8" w:rsidR="009F7E4E" w:rsidP="00402160" w:rsidRDefault="009F7E4E" w14:paraId="1BC1E70F" w14:textId="77777777">
            <w:pPr>
              <w:suppressAutoHyphens/>
              <w:jc w:val="center"/>
              <w:rPr>
                <w:rFonts w:eastAsia="Arial Unicode MS"/>
                <w:lang w:val="en-GB"/>
              </w:rPr>
            </w:pPr>
          </w:p>
          <w:p w:rsidRPr="00EE2DA8" w:rsidR="009F7E4E" w:rsidP="00402160" w:rsidRDefault="009F7E4E" w14:paraId="78C9F1ED" w14:textId="77777777">
            <w:pPr>
              <w:suppressAutoHyphens/>
              <w:jc w:val="center"/>
              <w:rPr>
                <w:rFonts w:eastAsia="Arial Unicode MS"/>
                <w:lang w:val="en-GB"/>
              </w:rPr>
            </w:pPr>
          </w:p>
          <w:p w:rsidRPr="00EE2DA8" w:rsidR="008A3B20" w:rsidP="00402160" w:rsidRDefault="008A3B20" w14:paraId="76531C3D" w14:textId="14A4251E">
            <w:pPr>
              <w:suppressAutoHyphens/>
              <w:jc w:val="center"/>
              <w:rPr>
                <w:rFonts w:eastAsia="Arial Unicode MS"/>
                <w:lang w:val="en-GB"/>
              </w:rPr>
            </w:pPr>
            <w:r w:rsidRPr="00EE2DA8">
              <w:rPr>
                <w:rFonts w:eastAsia="Arial Unicode MS"/>
                <w:lang w:val="en-GB"/>
              </w:rPr>
              <w:t xml:space="preserve">Apostolos </w:t>
            </w:r>
            <w:r w:rsidRPr="00EE2DA8" w:rsidR="00D3319D">
              <w:rPr>
                <w:rFonts w:eastAsia="Arial Unicode MS"/>
                <w:lang w:val="en-GB"/>
              </w:rPr>
              <w:t>Tzitzikostas</w:t>
            </w:r>
          </w:p>
        </w:tc>
        <w:tc>
          <w:tcPr>
            <w:tcW w:w="4622" w:type="dxa"/>
          </w:tcPr>
          <w:p w:rsidRPr="00EE2DA8" w:rsidR="008A3B20" w:rsidP="00402160" w:rsidRDefault="008A3B20" w14:paraId="6D6F35D6" w14:textId="77777777">
            <w:pPr>
              <w:suppressAutoHyphens/>
              <w:jc w:val="center"/>
              <w:rPr>
                <w:rFonts w:eastAsia="Arial Unicode MS"/>
                <w:lang w:val="en-GB"/>
              </w:rPr>
            </w:pPr>
          </w:p>
        </w:tc>
      </w:tr>
    </w:tbl>
    <w:p w:rsidRPr="00EE2DA8" w:rsidR="00071287" w:rsidP="00402160" w:rsidRDefault="008A3B20" w14:paraId="3996C18C" w14:textId="77777777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  <w:r w:rsidRPr="00EE2DA8">
        <w:rPr>
          <w:lang w:val="en-GB"/>
        </w:rPr>
        <w:t>_____________</w:t>
      </w:r>
    </w:p>
    <w:sectPr w:rsidRPr="00EE2DA8" w:rsidR="00071287" w:rsidSect="00EE2DA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72" w:rsidP="00016239" w:rsidRDefault="00881372" w14:paraId="2D48E294" w14:textId="77777777">
      <w:pPr>
        <w:spacing w:line="240" w:lineRule="auto"/>
      </w:pPr>
      <w:r>
        <w:separator/>
      </w:r>
    </w:p>
  </w:endnote>
  <w:endnote w:type="continuationSeparator" w:id="0">
    <w:p w:rsidR="00881372" w:rsidP="00016239" w:rsidRDefault="00881372" w14:paraId="1FF0630D" w14:textId="77777777">
      <w:pPr>
        <w:spacing w:line="240" w:lineRule="auto"/>
      </w:pPr>
      <w:r>
        <w:continuationSeparator/>
      </w:r>
    </w:p>
  </w:endnote>
  <w:endnote w:type="continuationNotice" w:id="1">
    <w:p w:rsidR="00881372" w:rsidRDefault="00881372" w14:paraId="0724509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EE2DA8" w:rsidP="00EE2DA8" w:rsidRDefault="00EE2DA8" w14:paraId="6339FF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886903" w:rsidP="00EE2DA8" w:rsidRDefault="00EE2DA8" w14:paraId="5647E781" w14:textId="079137CE">
    <w:pPr>
      <w:pStyle w:val="Footer"/>
    </w:pPr>
    <w:r>
      <w:t xml:space="preserve">COR-2021-02507-00-00-PRES-TRA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923C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E923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EE2DA8" w:rsidP="00EE2DA8" w:rsidRDefault="00EE2DA8" w14:paraId="7104EAE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881372" w:rsidP="00EE2DA8" w:rsidRDefault="00881372" w14:paraId="51AE194A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881372" w:rsidP="00EE2DA8" w:rsidRDefault="00EE2DA8" w14:paraId="53872606" w14:textId="656CCDB9">
    <w:pPr>
      <w:pStyle w:val="Footer"/>
    </w:pPr>
    <w:r>
      <w:t xml:space="preserve">COR-2021-02507-00-00-PRES-TRA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D581F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CD581F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881372" w:rsidP="00EE2DA8" w:rsidRDefault="00881372" w14:paraId="54DE5F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72" w:rsidP="00016239" w:rsidRDefault="00881372" w14:paraId="099F1741" w14:textId="77777777">
      <w:pPr>
        <w:spacing w:line="240" w:lineRule="auto"/>
      </w:pPr>
      <w:r>
        <w:separator/>
      </w:r>
    </w:p>
  </w:footnote>
  <w:footnote w:type="continuationSeparator" w:id="0">
    <w:p w:rsidR="00881372" w:rsidP="00016239" w:rsidRDefault="00881372" w14:paraId="728DD844" w14:textId="77777777">
      <w:pPr>
        <w:spacing w:line="240" w:lineRule="auto"/>
      </w:pPr>
      <w:r>
        <w:continuationSeparator/>
      </w:r>
    </w:p>
  </w:footnote>
  <w:footnote w:type="continuationNotice" w:id="1">
    <w:p w:rsidR="00881372" w:rsidRDefault="00881372" w14:paraId="32F1FC4B" w14:textId="77777777">
      <w:pPr>
        <w:spacing w:line="240" w:lineRule="auto"/>
      </w:pPr>
    </w:p>
  </w:footnote>
  <w:footnote w:id="2">
    <w:p w:rsidR="00881372" w:rsidP="00AC0140" w:rsidRDefault="00881372" w14:paraId="2B0316F1" w14:textId="530632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9369B">
        <w:t>COR-2020-01392-00-00-RES-TRA</w:t>
      </w:r>
      <w:r w:rsidR="005F21C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EE2DA8" w:rsidP="00EE2DA8" w:rsidRDefault="00EE2DA8" w14:paraId="609AFE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EE2DA8" w:rsidP="00EE2DA8" w:rsidRDefault="00EE2DA8" w14:paraId="792ECA75" w14:textId="4F6BB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EE2DA8" w:rsidP="00EE2DA8" w:rsidRDefault="00EE2DA8" w14:paraId="15E38F90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881372" w:rsidP="00EE2DA8" w:rsidRDefault="00881372" w14:paraId="5DD3B827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881372" w:rsidP="00EE2DA8" w:rsidRDefault="00881372" w14:paraId="7ADE2ECF" w14:textId="195CEE9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2DA8" w:rsidR="00881372" w:rsidP="00EE2DA8" w:rsidRDefault="00881372" w14:paraId="2EC2D27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08F6062"/>
    <w:multiLevelType w:val="multilevel"/>
    <w:tmpl w:val="41B882F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D0E4382"/>
    <w:multiLevelType w:val="hybridMultilevel"/>
    <w:tmpl w:val="31F61F58"/>
    <w:lvl w:ilvl="0" w:tplc="BB949638">
      <w:start w:val="1"/>
      <w:numFmt w:val="bullet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39"/>
    <w:rsid w:val="00003D03"/>
    <w:rsid w:val="00006AEA"/>
    <w:rsid w:val="00010EEC"/>
    <w:rsid w:val="00012890"/>
    <w:rsid w:val="0001393F"/>
    <w:rsid w:val="00016239"/>
    <w:rsid w:val="00016480"/>
    <w:rsid w:val="000175FD"/>
    <w:rsid w:val="00017966"/>
    <w:rsid w:val="00023142"/>
    <w:rsid w:val="00024D10"/>
    <w:rsid w:val="00025859"/>
    <w:rsid w:val="00030A44"/>
    <w:rsid w:val="00031CC7"/>
    <w:rsid w:val="00034150"/>
    <w:rsid w:val="000343E3"/>
    <w:rsid w:val="00042841"/>
    <w:rsid w:val="00042899"/>
    <w:rsid w:val="000449EC"/>
    <w:rsid w:val="00050595"/>
    <w:rsid w:val="0005443A"/>
    <w:rsid w:val="00060AF1"/>
    <w:rsid w:val="00061355"/>
    <w:rsid w:val="00064A22"/>
    <w:rsid w:val="00065592"/>
    <w:rsid w:val="00066E0C"/>
    <w:rsid w:val="0006732A"/>
    <w:rsid w:val="00070B97"/>
    <w:rsid w:val="00071287"/>
    <w:rsid w:val="00081B6B"/>
    <w:rsid w:val="000829C2"/>
    <w:rsid w:val="00084F7A"/>
    <w:rsid w:val="000858F8"/>
    <w:rsid w:val="000909F4"/>
    <w:rsid w:val="000917C0"/>
    <w:rsid w:val="00096705"/>
    <w:rsid w:val="00096835"/>
    <w:rsid w:val="000A0F55"/>
    <w:rsid w:val="000A50D7"/>
    <w:rsid w:val="000A5E20"/>
    <w:rsid w:val="000A7529"/>
    <w:rsid w:val="000B0F9D"/>
    <w:rsid w:val="000C09DF"/>
    <w:rsid w:val="000C1663"/>
    <w:rsid w:val="000C188A"/>
    <w:rsid w:val="000C4CC8"/>
    <w:rsid w:val="000C51DD"/>
    <w:rsid w:val="000D077B"/>
    <w:rsid w:val="000D7DE0"/>
    <w:rsid w:val="000E1BE5"/>
    <w:rsid w:val="000E3B29"/>
    <w:rsid w:val="000E4FCA"/>
    <w:rsid w:val="000E66E8"/>
    <w:rsid w:val="000E7220"/>
    <w:rsid w:val="000E74D0"/>
    <w:rsid w:val="000F2583"/>
    <w:rsid w:val="000F7632"/>
    <w:rsid w:val="00100162"/>
    <w:rsid w:val="00103FA9"/>
    <w:rsid w:val="00105FC4"/>
    <w:rsid w:val="0010710C"/>
    <w:rsid w:val="001278FA"/>
    <w:rsid w:val="00144D88"/>
    <w:rsid w:val="00145B4E"/>
    <w:rsid w:val="0014750F"/>
    <w:rsid w:val="001526FE"/>
    <w:rsid w:val="00155FCF"/>
    <w:rsid w:val="00162E2E"/>
    <w:rsid w:val="00172BEA"/>
    <w:rsid w:val="001746A2"/>
    <w:rsid w:val="00176516"/>
    <w:rsid w:val="001A1A32"/>
    <w:rsid w:val="001A22C2"/>
    <w:rsid w:val="001A7F41"/>
    <w:rsid w:val="001B1201"/>
    <w:rsid w:val="001B363B"/>
    <w:rsid w:val="001B643D"/>
    <w:rsid w:val="001D2296"/>
    <w:rsid w:val="001D7CAE"/>
    <w:rsid w:val="001E5340"/>
    <w:rsid w:val="001F2910"/>
    <w:rsid w:val="001F4410"/>
    <w:rsid w:val="00201FCE"/>
    <w:rsid w:val="00202DC9"/>
    <w:rsid w:val="00206E0E"/>
    <w:rsid w:val="00210458"/>
    <w:rsid w:val="00211AF0"/>
    <w:rsid w:val="00217E70"/>
    <w:rsid w:val="00220426"/>
    <w:rsid w:val="00222FC2"/>
    <w:rsid w:val="00230656"/>
    <w:rsid w:val="00232A24"/>
    <w:rsid w:val="00235C86"/>
    <w:rsid w:val="002369E5"/>
    <w:rsid w:val="0025439F"/>
    <w:rsid w:val="002548A7"/>
    <w:rsid w:val="00254A63"/>
    <w:rsid w:val="00255BC2"/>
    <w:rsid w:val="00263037"/>
    <w:rsid w:val="00264319"/>
    <w:rsid w:val="002706BC"/>
    <w:rsid w:val="00284A47"/>
    <w:rsid w:val="00292575"/>
    <w:rsid w:val="002A2445"/>
    <w:rsid w:val="002A6576"/>
    <w:rsid w:val="002A69BD"/>
    <w:rsid w:val="002A7E66"/>
    <w:rsid w:val="002B3593"/>
    <w:rsid w:val="002C2B83"/>
    <w:rsid w:val="002C363D"/>
    <w:rsid w:val="002C5ACB"/>
    <w:rsid w:val="002C6FD5"/>
    <w:rsid w:val="002C7F54"/>
    <w:rsid w:val="002D2028"/>
    <w:rsid w:val="002D3967"/>
    <w:rsid w:val="002E08FC"/>
    <w:rsid w:val="002E280E"/>
    <w:rsid w:val="002E524B"/>
    <w:rsid w:val="002F0545"/>
    <w:rsid w:val="002F1B5E"/>
    <w:rsid w:val="002F1C0D"/>
    <w:rsid w:val="0031167D"/>
    <w:rsid w:val="00313B9F"/>
    <w:rsid w:val="00314846"/>
    <w:rsid w:val="00324DF2"/>
    <w:rsid w:val="00331F8A"/>
    <w:rsid w:val="00332843"/>
    <w:rsid w:val="00333F00"/>
    <w:rsid w:val="003351C1"/>
    <w:rsid w:val="003361AC"/>
    <w:rsid w:val="00337866"/>
    <w:rsid w:val="0036082E"/>
    <w:rsid w:val="003618DF"/>
    <w:rsid w:val="003627BF"/>
    <w:rsid w:val="003631ED"/>
    <w:rsid w:val="00363D7D"/>
    <w:rsid w:val="00366F0F"/>
    <w:rsid w:val="00370E90"/>
    <w:rsid w:val="00372C82"/>
    <w:rsid w:val="00383CFD"/>
    <w:rsid w:val="00383F39"/>
    <w:rsid w:val="00385401"/>
    <w:rsid w:val="0039008C"/>
    <w:rsid w:val="00390D1F"/>
    <w:rsid w:val="0039184B"/>
    <w:rsid w:val="0039476F"/>
    <w:rsid w:val="00394A9D"/>
    <w:rsid w:val="003962A3"/>
    <w:rsid w:val="003A2BB8"/>
    <w:rsid w:val="003A4365"/>
    <w:rsid w:val="003A6764"/>
    <w:rsid w:val="003B04A9"/>
    <w:rsid w:val="003B13B0"/>
    <w:rsid w:val="003B3AF7"/>
    <w:rsid w:val="003B5F9E"/>
    <w:rsid w:val="003B7600"/>
    <w:rsid w:val="003C3182"/>
    <w:rsid w:val="003C4194"/>
    <w:rsid w:val="003C435C"/>
    <w:rsid w:val="003C6D9A"/>
    <w:rsid w:val="003D3A1B"/>
    <w:rsid w:val="003D4389"/>
    <w:rsid w:val="003D7161"/>
    <w:rsid w:val="003E750E"/>
    <w:rsid w:val="003F1BB5"/>
    <w:rsid w:val="003F497E"/>
    <w:rsid w:val="003F50D8"/>
    <w:rsid w:val="003F54D9"/>
    <w:rsid w:val="003F648C"/>
    <w:rsid w:val="00402160"/>
    <w:rsid w:val="0040519C"/>
    <w:rsid w:val="00405BA9"/>
    <w:rsid w:val="0040729E"/>
    <w:rsid w:val="00412AE4"/>
    <w:rsid w:val="00414A76"/>
    <w:rsid w:val="00427D22"/>
    <w:rsid w:val="00431EB8"/>
    <w:rsid w:val="0043245B"/>
    <w:rsid w:val="004343F3"/>
    <w:rsid w:val="0044479C"/>
    <w:rsid w:val="00446803"/>
    <w:rsid w:val="00446E1D"/>
    <w:rsid w:val="00452193"/>
    <w:rsid w:val="00461272"/>
    <w:rsid w:val="0046220A"/>
    <w:rsid w:val="00464C5A"/>
    <w:rsid w:val="00473EBA"/>
    <w:rsid w:val="00474E64"/>
    <w:rsid w:val="0049132F"/>
    <w:rsid w:val="00492253"/>
    <w:rsid w:val="00497D1D"/>
    <w:rsid w:val="00497E95"/>
    <w:rsid w:val="004A0B43"/>
    <w:rsid w:val="004A793B"/>
    <w:rsid w:val="004B0481"/>
    <w:rsid w:val="004B4633"/>
    <w:rsid w:val="004B71CD"/>
    <w:rsid w:val="004C254B"/>
    <w:rsid w:val="004C3A4E"/>
    <w:rsid w:val="004C4F9B"/>
    <w:rsid w:val="004C6AB2"/>
    <w:rsid w:val="004C6FBF"/>
    <w:rsid w:val="004C7AC6"/>
    <w:rsid w:val="004D1AC5"/>
    <w:rsid w:val="004D52C2"/>
    <w:rsid w:val="004D74B9"/>
    <w:rsid w:val="004E133B"/>
    <w:rsid w:val="004E139E"/>
    <w:rsid w:val="004E2A4B"/>
    <w:rsid w:val="004E5441"/>
    <w:rsid w:val="004E59CC"/>
    <w:rsid w:val="004F5D04"/>
    <w:rsid w:val="005011C4"/>
    <w:rsid w:val="00504480"/>
    <w:rsid w:val="00511810"/>
    <w:rsid w:val="00515146"/>
    <w:rsid w:val="00517F31"/>
    <w:rsid w:val="005220A7"/>
    <w:rsid w:val="00522CD3"/>
    <w:rsid w:val="0053106D"/>
    <w:rsid w:val="00534E2F"/>
    <w:rsid w:val="00537482"/>
    <w:rsid w:val="00540636"/>
    <w:rsid w:val="00545B65"/>
    <w:rsid w:val="00547152"/>
    <w:rsid w:val="005554DF"/>
    <w:rsid w:val="00556DEB"/>
    <w:rsid w:val="00560A80"/>
    <w:rsid w:val="00567BA7"/>
    <w:rsid w:val="00577C4A"/>
    <w:rsid w:val="005833DA"/>
    <w:rsid w:val="005842E4"/>
    <w:rsid w:val="00591FD4"/>
    <w:rsid w:val="0059684D"/>
    <w:rsid w:val="005972CC"/>
    <w:rsid w:val="005A0799"/>
    <w:rsid w:val="005B1CDB"/>
    <w:rsid w:val="005C45A1"/>
    <w:rsid w:val="005C7D86"/>
    <w:rsid w:val="005D14FD"/>
    <w:rsid w:val="005D2998"/>
    <w:rsid w:val="005D3CEE"/>
    <w:rsid w:val="005E0FFF"/>
    <w:rsid w:val="005E2B36"/>
    <w:rsid w:val="005E33D9"/>
    <w:rsid w:val="005E40F4"/>
    <w:rsid w:val="005E587C"/>
    <w:rsid w:val="005E799B"/>
    <w:rsid w:val="005F21C7"/>
    <w:rsid w:val="005F3F95"/>
    <w:rsid w:val="005F4483"/>
    <w:rsid w:val="006027D0"/>
    <w:rsid w:val="00604F81"/>
    <w:rsid w:val="006066AA"/>
    <w:rsid w:val="0061174F"/>
    <w:rsid w:val="00617AE7"/>
    <w:rsid w:val="0062253A"/>
    <w:rsid w:val="006230F0"/>
    <w:rsid w:val="00623D2C"/>
    <w:rsid w:val="00625EFF"/>
    <w:rsid w:val="006268A7"/>
    <w:rsid w:val="006268FD"/>
    <w:rsid w:val="006352C2"/>
    <w:rsid w:val="00641CBF"/>
    <w:rsid w:val="00643212"/>
    <w:rsid w:val="0064645D"/>
    <w:rsid w:val="0065105D"/>
    <w:rsid w:val="006551D7"/>
    <w:rsid w:val="00662E8A"/>
    <w:rsid w:val="00671603"/>
    <w:rsid w:val="006824BD"/>
    <w:rsid w:val="006837FD"/>
    <w:rsid w:val="006838B7"/>
    <w:rsid w:val="00684163"/>
    <w:rsid w:val="006932A4"/>
    <w:rsid w:val="00693D35"/>
    <w:rsid w:val="006944D8"/>
    <w:rsid w:val="00694E57"/>
    <w:rsid w:val="00696FF7"/>
    <w:rsid w:val="006A1C3B"/>
    <w:rsid w:val="006A3B10"/>
    <w:rsid w:val="006A4216"/>
    <w:rsid w:val="006B085C"/>
    <w:rsid w:val="006B3087"/>
    <w:rsid w:val="006B388E"/>
    <w:rsid w:val="006B561E"/>
    <w:rsid w:val="006C40C0"/>
    <w:rsid w:val="006E1443"/>
    <w:rsid w:val="006E158A"/>
    <w:rsid w:val="006E1FF5"/>
    <w:rsid w:val="006E4C61"/>
    <w:rsid w:val="006F4648"/>
    <w:rsid w:val="00701D8D"/>
    <w:rsid w:val="00712401"/>
    <w:rsid w:val="00721575"/>
    <w:rsid w:val="007246F9"/>
    <w:rsid w:val="007311B0"/>
    <w:rsid w:val="00731611"/>
    <w:rsid w:val="00733B45"/>
    <w:rsid w:val="00733C73"/>
    <w:rsid w:val="007377B3"/>
    <w:rsid w:val="007416C1"/>
    <w:rsid w:val="00743A78"/>
    <w:rsid w:val="00753F4F"/>
    <w:rsid w:val="00754BE5"/>
    <w:rsid w:val="007611B2"/>
    <w:rsid w:val="00761F36"/>
    <w:rsid w:val="007624C7"/>
    <w:rsid w:val="00765095"/>
    <w:rsid w:val="0076620B"/>
    <w:rsid w:val="0076731B"/>
    <w:rsid w:val="007741A0"/>
    <w:rsid w:val="007753AC"/>
    <w:rsid w:val="00782575"/>
    <w:rsid w:val="00784FE3"/>
    <w:rsid w:val="007913C3"/>
    <w:rsid w:val="0079164F"/>
    <w:rsid w:val="00792EE6"/>
    <w:rsid w:val="007953DA"/>
    <w:rsid w:val="007A0F2C"/>
    <w:rsid w:val="007A68C8"/>
    <w:rsid w:val="007B0357"/>
    <w:rsid w:val="007C3CB2"/>
    <w:rsid w:val="007C4207"/>
    <w:rsid w:val="007C7A94"/>
    <w:rsid w:val="007D1FB9"/>
    <w:rsid w:val="007D2026"/>
    <w:rsid w:val="007D75DE"/>
    <w:rsid w:val="007E1BEB"/>
    <w:rsid w:val="007E2142"/>
    <w:rsid w:val="007E4C0B"/>
    <w:rsid w:val="007E4C57"/>
    <w:rsid w:val="007F6E17"/>
    <w:rsid w:val="007F6E9C"/>
    <w:rsid w:val="00800E65"/>
    <w:rsid w:val="00802FBF"/>
    <w:rsid w:val="008068B0"/>
    <w:rsid w:val="00814B3B"/>
    <w:rsid w:val="008164BC"/>
    <w:rsid w:val="00816C90"/>
    <w:rsid w:val="00817146"/>
    <w:rsid w:val="00821362"/>
    <w:rsid w:val="008271B9"/>
    <w:rsid w:val="008324CC"/>
    <w:rsid w:val="0084011D"/>
    <w:rsid w:val="00845180"/>
    <w:rsid w:val="00845DB0"/>
    <w:rsid w:val="008468C7"/>
    <w:rsid w:val="00860EE3"/>
    <w:rsid w:val="008629EC"/>
    <w:rsid w:val="00865FD8"/>
    <w:rsid w:val="008675EE"/>
    <w:rsid w:val="00873457"/>
    <w:rsid w:val="00876F20"/>
    <w:rsid w:val="00881372"/>
    <w:rsid w:val="00883622"/>
    <w:rsid w:val="00886903"/>
    <w:rsid w:val="008A21BE"/>
    <w:rsid w:val="008A3B20"/>
    <w:rsid w:val="008A5DBD"/>
    <w:rsid w:val="008B3100"/>
    <w:rsid w:val="008B6392"/>
    <w:rsid w:val="008C20CF"/>
    <w:rsid w:val="008C21DD"/>
    <w:rsid w:val="008C2D59"/>
    <w:rsid w:val="008C393F"/>
    <w:rsid w:val="008D729C"/>
    <w:rsid w:val="008E1168"/>
    <w:rsid w:val="008E14DD"/>
    <w:rsid w:val="008E2353"/>
    <w:rsid w:val="008E38D4"/>
    <w:rsid w:val="008E706E"/>
    <w:rsid w:val="009024FF"/>
    <w:rsid w:val="00907F0D"/>
    <w:rsid w:val="00921956"/>
    <w:rsid w:val="00924623"/>
    <w:rsid w:val="00926A9E"/>
    <w:rsid w:val="00931F65"/>
    <w:rsid w:val="0093496B"/>
    <w:rsid w:val="00935F69"/>
    <w:rsid w:val="00936C0F"/>
    <w:rsid w:val="00940589"/>
    <w:rsid w:val="0094782E"/>
    <w:rsid w:val="00955679"/>
    <w:rsid w:val="0095618C"/>
    <w:rsid w:val="00960A7C"/>
    <w:rsid w:val="00961D92"/>
    <w:rsid w:val="00964E79"/>
    <w:rsid w:val="009657BC"/>
    <w:rsid w:val="00965C2C"/>
    <w:rsid w:val="009662FD"/>
    <w:rsid w:val="00972F04"/>
    <w:rsid w:val="009741B4"/>
    <w:rsid w:val="00976CE9"/>
    <w:rsid w:val="00980503"/>
    <w:rsid w:val="00985868"/>
    <w:rsid w:val="0098657F"/>
    <w:rsid w:val="009928CF"/>
    <w:rsid w:val="00993E94"/>
    <w:rsid w:val="009977F9"/>
    <w:rsid w:val="009A285C"/>
    <w:rsid w:val="009A2DFF"/>
    <w:rsid w:val="009A505B"/>
    <w:rsid w:val="009B2EED"/>
    <w:rsid w:val="009B506E"/>
    <w:rsid w:val="009B57E1"/>
    <w:rsid w:val="009B5E20"/>
    <w:rsid w:val="009B7462"/>
    <w:rsid w:val="009C4D3D"/>
    <w:rsid w:val="009C60E8"/>
    <w:rsid w:val="009C610E"/>
    <w:rsid w:val="009C6D3F"/>
    <w:rsid w:val="009D01CC"/>
    <w:rsid w:val="009D235F"/>
    <w:rsid w:val="009D3EFF"/>
    <w:rsid w:val="009E026B"/>
    <w:rsid w:val="009F0601"/>
    <w:rsid w:val="009F19E3"/>
    <w:rsid w:val="009F7E4E"/>
    <w:rsid w:val="00A02FA2"/>
    <w:rsid w:val="00A05C4D"/>
    <w:rsid w:val="00A05FD3"/>
    <w:rsid w:val="00A07BB1"/>
    <w:rsid w:val="00A159A5"/>
    <w:rsid w:val="00A27276"/>
    <w:rsid w:val="00A27E90"/>
    <w:rsid w:val="00A32387"/>
    <w:rsid w:val="00A3346D"/>
    <w:rsid w:val="00A351D2"/>
    <w:rsid w:val="00A3534F"/>
    <w:rsid w:val="00A3662D"/>
    <w:rsid w:val="00A44EB8"/>
    <w:rsid w:val="00A550CE"/>
    <w:rsid w:val="00A574FF"/>
    <w:rsid w:val="00A602A4"/>
    <w:rsid w:val="00A630D1"/>
    <w:rsid w:val="00A64BF0"/>
    <w:rsid w:val="00A72DC8"/>
    <w:rsid w:val="00A73ABD"/>
    <w:rsid w:val="00A744DB"/>
    <w:rsid w:val="00A8155A"/>
    <w:rsid w:val="00A82CF3"/>
    <w:rsid w:val="00A85279"/>
    <w:rsid w:val="00A85AF4"/>
    <w:rsid w:val="00A92606"/>
    <w:rsid w:val="00A93D08"/>
    <w:rsid w:val="00AA0763"/>
    <w:rsid w:val="00AA297D"/>
    <w:rsid w:val="00AA42D2"/>
    <w:rsid w:val="00AA5E95"/>
    <w:rsid w:val="00AC0140"/>
    <w:rsid w:val="00AC046B"/>
    <w:rsid w:val="00AC3A24"/>
    <w:rsid w:val="00AC5272"/>
    <w:rsid w:val="00AE5025"/>
    <w:rsid w:val="00AE5DF4"/>
    <w:rsid w:val="00AF0DE4"/>
    <w:rsid w:val="00AF18E9"/>
    <w:rsid w:val="00B10998"/>
    <w:rsid w:val="00B10C10"/>
    <w:rsid w:val="00B11B04"/>
    <w:rsid w:val="00B20C47"/>
    <w:rsid w:val="00B20D8E"/>
    <w:rsid w:val="00B270CF"/>
    <w:rsid w:val="00B27DE2"/>
    <w:rsid w:val="00B30656"/>
    <w:rsid w:val="00B3318D"/>
    <w:rsid w:val="00B50627"/>
    <w:rsid w:val="00B51E08"/>
    <w:rsid w:val="00B56A64"/>
    <w:rsid w:val="00B60897"/>
    <w:rsid w:val="00B627BD"/>
    <w:rsid w:val="00B63DB5"/>
    <w:rsid w:val="00B70E36"/>
    <w:rsid w:val="00B77108"/>
    <w:rsid w:val="00B8021A"/>
    <w:rsid w:val="00B83F1B"/>
    <w:rsid w:val="00B848EE"/>
    <w:rsid w:val="00B9162B"/>
    <w:rsid w:val="00B924B0"/>
    <w:rsid w:val="00BA15B6"/>
    <w:rsid w:val="00BB5B63"/>
    <w:rsid w:val="00BB6FFB"/>
    <w:rsid w:val="00BD67A1"/>
    <w:rsid w:val="00BD6F47"/>
    <w:rsid w:val="00BD73E9"/>
    <w:rsid w:val="00BD7919"/>
    <w:rsid w:val="00BE2A71"/>
    <w:rsid w:val="00BE6F0A"/>
    <w:rsid w:val="00BF0FED"/>
    <w:rsid w:val="00C005AF"/>
    <w:rsid w:val="00C10C60"/>
    <w:rsid w:val="00C216BB"/>
    <w:rsid w:val="00C26A86"/>
    <w:rsid w:val="00C423C2"/>
    <w:rsid w:val="00C47AD5"/>
    <w:rsid w:val="00C54C5A"/>
    <w:rsid w:val="00C5755A"/>
    <w:rsid w:val="00C577A8"/>
    <w:rsid w:val="00C60EB1"/>
    <w:rsid w:val="00C650FF"/>
    <w:rsid w:val="00C71219"/>
    <w:rsid w:val="00C740CF"/>
    <w:rsid w:val="00C823C0"/>
    <w:rsid w:val="00C849B3"/>
    <w:rsid w:val="00C85D2B"/>
    <w:rsid w:val="00C92D07"/>
    <w:rsid w:val="00CA069E"/>
    <w:rsid w:val="00CA2102"/>
    <w:rsid w:val="00CA35A7"/>
    <w:rsid w:val="00CA644E"/>
    <w:rsid w:val="00CA6675"/>
    <w:rsid w:val="00CA7A2B"/>
    <w:rsid w:val="00CC0228"/>
    <w:rsid w:val="00CC14BB"/>
    <w:rsid w:val="00CC1E38"/>
    <w:rsid w:val="00CC34E2"/>
    <w:rsid w:val="00CD0FA1"/>
    <w:rsid w:val="00CD581F"/>
    <w:rsid w:val="00CE35B6"/>
    <w:rsid w:val="00CE443A"/>
    <w:rsid w:val="00CF34EA"/>
    <w:rsid w:val="00CF6178"/>
    <w:rsid w:val="00D02521"/>
    <w:rsid w:val="00D039A5"/>
    <w:rsid w:val="00D07222"/>
    <w:rsid w:val="00D16EAD"/>
    <w:rsid w:val="00D201B9"/>
    <w:rsid w:val="00D224C9"/>
    <w:rsid w:val="00D22A5B"/>
    <w:rsid w:val="00D24327"/>
    <w:rsid w:val="00D26719"/>
    <w:rsid w:val="00D3319D"/>
    <w:rsid w:val="00D35E01"/>
    <w:rsid w:val="00D46578"/>
    <w:rsid w:val="00D56241"/>
    <w:rsid w:val="00D70AAB"/>
    <w:rsid w:val="00D7170F"/>
    <w:rsid w:val="00D71A30"/>
    <w:rsid w:val="00D805BD"/>
    <w:rsid w:val="00D92719"/>
    <w:rsid w:val="00D92D97"/>
    <w:rsid w:val="00D940A6"/>
    <w:rsid w:val="00D94188"/>
    <w:rsid w:val="00D95745"/>
    <w:rsid w:val="00D96945"/>
    <w:rsid w:val="00DA0F55"/>
    <w:rsid w:val="00DA2D94"/>
    <w:rsid w:val="00DB2D91"/>
    <w:rsid w:val="00DB3026"/>
    <w:rsid w:val="00DB3ED7"/>
    <w:rsid w:val="00DC34E6"/>
    <w:rsid w:val="00DD3E96"/>
    <w:rsid w:val="00DE5A54"/>
    <w:rsid w:val="00DF0272"/>
    <w:rsid w:val="00DF4F89"/>
    <w:rsid w:val="00E03723"/>
    <w:rsid w:val="00E06CC7"/>
    <w:rsid w:val="00E0791A"/>
    <w:rsid w:val="00E102F6"/>
    <w:rsid w:val="00E10F02"/>
    <w:rsid w:val="00E15820"/>
    <w:rsid w:val="00E16AC8"/>
    <w:rsid w:val="00E21DE8"/>
    <w:rsid w:val="00E26100"/>
    <w:rsid w:val="00E27AE9"/>
    <w:rsid w:val="00E34A9B"/>
    <w:rsid w:val="00E37D16"/>
    <w:rsid w:val="00E45E39"/>
    <w:rsid w:val="00E45EE6"/>
    <w:rsid w:val="00E51068"/>
    <w:rsid w:val="00E5685B"/>
    <w:rsid w:val="00E61473"/>
    <w:rsid w:val="00E62CC0"/>
    <w:rsid w:val="00E641C0"/>
    <w:rsid w:val="00E641D9"/>
    <w:rsid w:val="00E6557A"/>
    <w:rsid w:val="00E80E8F"/>
    <w:rsid w:val="00E81202"/>
    <w:rsid w:val="00E8197E"/>
    <w:rsid w:val="00E81D1A"/>
    <w:rsid w:val="00E8425A"/>
    <w:rsid w:val="00E923C4"/>
    <w:rsid w:val="00E931E8"/>
    <w:rsid w:val="00E93790"/>
    <w:rsid w:val="00E940E3"/>
    <w:rsid w:val="00E97A1E"/>
    <w:rsid w:val="00EA08C6"/>
    <w:rsid w:val="00EA631A"/>
    <w:rsid w:val="00EA7454"/>
    <w:rsid w:val="00EB0D6C"/>
    <w:rsid w:val="00EB2D39"/>
    <w:rsid w:val="00EB3C2F"/>
    <w:rsid w:val="00EC4DAE"/>
    <w:rsid w:val="00EE2AAE"/>
    <w:rsid w:val="00EE2DA8"/>
    <w:rsid w:val="00EE50A1"/>
    <w:rsid w:val="00EE7043"/>
    <w:rsid w:val="00EE7443"/>
    <w:rsid w:val="00EF1604"/>
    <w:rsid w:val="00EF2175"/>
    <w:rsid w:val="00F008C2"/>
    <w:rsid w:val="00F0406F"/>
    <w:rsid w:val="00F14E19"/>
    <w:rsid w:val="00F1726F"/>
    <w:rsid w:val="00F202DC"/>
    <w:rsid w:val="00F22D81"/>
    <w:rsid w:val="00F31E6E"/>
    <w:rsid w:val="00F3359D"/>
    <w:rsid w:val="00F33C95"/>
    <w:rsid w:val="00F34C75"/>
    <w:rsid w:val="00F41CA2"/>
    <w:rsid w:val="00F4203D"/>
    <w:rsid w:val="00F42247"/>
    <w:rsid w:val="00F439BE"/>
    <w:rsid w:val="00F43B8F"/>
    <w:rsid w:val="00F47001"/>
    <w:rsid w:val="00F47150"/>
    <w:rsid w:val="00F52728"/>
    <w:rsid w:val="00F52BE3"/>
    <w:rsid w:val="00F52C94"/>
    <w:rsid w:val="00F574EE"/>
    <w:rsid w:val="00F65279"/>
    <w:rsid w:val="00F65D9F"/>
    <w:rsid w:val="00F66731"/>
    <w:rsid w:val="00F66AE7"/>
    <w:rsid w:val="00F6780C"/>
    <w:rsid w:val="00F71D01"/>
    <w:rsid w:val="00F72424"/>
    <w:rsid w:val="00F762B8"/>
    <w:rsid w:val="00F76756"/>
    <w:rsid w:val="00F96FFA"/>
    <w:rsid w:val="00F9777A"/>
    <w:rsid w:val="00FA15D3"/>
    <w:rsid w:val="00FB5B7B"/>
    <w:rsid w:val="00FB6322"/>
    <w:rsid w:val="00FB7C8B"/>
    <w:rsid w:val="00FD3CA2"/>
    <w:rsid w:val="00FD7ABD"/>
    <w:rsid w:val="00FE11C6"/>
    <w:rsid w:val="00FE4087"/>
    <w:rsid w:val="00FE64F5"/>
    <w:rsid w:val="00FF4EAA"/>
    <w:rsid w:val="00FF5278"/>
    <w:rsid w:val="015EAA7A"/>
    <w:rsid w:val="01A47EC7"/>
    <w:rsid w:val="01C0AA36"/>
    <w:rsid w:val="02C77B5E"/>
    <w:rsid w:val="0392C463"/>
    <w:rsid w:val="03CA0A35"/>
    <w:rsid w:val="04500BB4"/>
    <w:rsid w:val="048DB52B"/>
    <w:rsid w:val="04B1F343"/>
    <w:rsid w:val="04D27DA9"/>
    <w:rsid w:val="0526C3E4"/>
    <w:rsid w:val="055374EC"/>
    <w:rsid w:val="06417663"/>
    <w:rsid w:val="06DF3966"/>
    <w:rsid w:val="0717157A"/>
    <w:rsid w:val="07C2EF77"/>
    <w:rsid w:val="07DA7B08"/>
    <w:rsid w:val="080685A0"/>
    <w:rsid w:val="08512F56"/>
    <w:rsid w:val="09A71DBC"/>
    <w:rsid w:val="0A71EBEF"/>
    <w:rsid w:val="0B3DC1BB"/>
    <w:rsid w:val="0B92F762"/>
    <w:rsid w:val="0D6CABD5"/>
    <w:rsid w:val="0DAF80FE"/>
    <w:rsid w:val="0E6CED8B"/>
    <w:rsid w:val="0EA0CEC6"/>
    <w:rsid w:val="0EA3F396"/>
    <w:rsid w:val="105E95A3"/>
    <w:rsid w:val="1072750C"/>
    <w:rsid w:val="111B8FDB"/>
    <w:rsid w:val="112B4E66"/>
    <w:rsid w:val="113C9930"/>
    <w:rsid w:val="11E0B073"/>
    <w:rsid w:val="1278F2B4"/>
    <w:rsid w:val="129E6AB0"/>
    <w:rsid w:val="136FCF40"/>
    <w:rsid w:val="1426331B"/>
    <w:rsid w:val="16966701"/>
    <w:rsid w:val="16F81FB7"/>
    <w:rsid w:val="173AE74B"/>
    <w:rsid w:val="180893DF"/>
    <w:rsid w:val="18C1E59C"/>
    <w:rsid w:val="18FB674D"/>
    <w:rsid w:val="1A023875"/>
    <w:rsid w:val="1A4BB2F8"/>
    <w:rsid w:val="1B068ED4"/>
    <w:rsid w:val="1B9B5E95"/>
    <w:rsid w:val="1BECB05A"/>
    <w:rsid w:val="1CD1ED68"/>
    <w:rsid w:val="1D065DF2"/>
    <w:rsid w:val="1E3319C2"/>
    <w:rsid w:val="1E386153"/>
    <w:rsid w:val="1F287118"/>
    <w:rsid w:val="1F8D3A72"/>
    <w:rsid w:val="1F9C9E81"/>
    <w:rsid w:val="1F9CD152"/>
    <w:rsid w:val="1FC56E1E"/>
    <w:rsid w:val="1FDB2032"/>
    <w:rsid w:val="201A8B98"/>
    <w:rsid w:val="2024F8C8"/>
    <w:rsid w:val="21A6683F"/>
    <w:rsid w:val="21EC5B4D"/>
    <w:rsid w:val="2212A4D1"/>
    <w:rsid w:val="222403C4"/>
    <w:rsid w:val="22F895FD"/>
    <w:rsid w:val="23122D99"/>
    <w:rsid w:val="23200528"/>
    <w:rsid w:val="23A0AE03"/>
    <w:rsid w:val="248ACB98"/>
    <w:rsid w:val="26169012"/>
    <w:rsid w:val="2662A526"/>
    <w:rsid w:val="271315D4"/>
    <w:rsid w:val="27996AE7"/>
    <w:rsid w:val="27B16359"/>
    <w:rsid w:val="285D508C"/>
    <w:rsid w:val="2880551C"/>
    <w:rsid w:val="29278C46"/>
    <w:rsid w:val="297CC1ED"/>
    <w:rsid w:val="2A553174"/>
    <w:rsid w:val="2A6ACD01"/>
    <w:rsid w:val="2AFB1631"/>
    <w:rsid w:val="2B0C6531"/>
    <w:rsid w:val="2BA3A08C"/>
    <w:rsid w:val="2DB3A89A"/>
    <w:rsid w:val="2DDD1A47"/>
    <w:rsid w:val="2E93921C"/>
    <w:rsid w:val="3134D3D2"/>
    <w:rsid w:val="326A2620"/>
    <w:rsid w:val="333F6292"/>
    <w:rsid w:val="335EBDF4"/>
    <w:rsid w:val="3556D98B"/>
    <w:rsid w:val="36462907"/>
    <w:rsid w:val="37B0EF77"/>
    <w:rsid w:val="3832A5CC"/>
    <w:rsid w:val="38782685"/>
    <w:rsid w:val="3ABF7699"/>
    <w:rsid w:val="3B744F17"/>
    <w:rsid w:val="3BFD3126"/>
    <w:rsid w:val="3C93C86F"/>
    <w:rsid w:val="3CD9D3AA"/>
    <w:rsid w:val="3D04CD5B"/>
    <w:rsid w:val="3E262346"/>
    <w:rsid w:val="3E5E6484"/>
    <w:rsid w:val="3F4CCB55"/>
    <w:rsid w:val="3F940BFB"/>
    <w:rsid w:val="400DA1F9"/>
    <w:rsid w:val="406C9E60"/>
    <w:rsid w:val="43CC7747"/>
    <w:rsid w:val="453458BF"/>
    <w:rsid w:val="462F22A5"/>
    <w:rsid w:val="4666EB83"/>
    <w:rsid w:val="472AEE6D"/>
    <w:rsid w:val="47CD9BB5"/>
    <w:rsid w:val="47E36D64"/>
    <w:rsid w:val="49A223AD"/>
    <w:rsid w:val="4ADB0F65"/>
    <w:rsid w:val="4CB29DF5"/>
    <w:rsid w:val="4DCAE8C8"/>
    <w:rsid w:val="4F0995FC"/>
    <w:rsid w:val="4F3421BD"/>
    <w:rsid w:val="4F7A2CF8"/>
    <w:rsid w:val="4F86D543"/>
    <w:rsid w:val="50578A15"/>
    <w:rsid w:val="5090944D"/>
    <w:rsid w:val="51458B8C"/>
    <w:rsid w:val="516DF16A"/>
    <w:rsid w:val="5170C2A6"/>
    <w:rsid w:val="54D3CFB1"/>
    <w:rsid w:val="563507B7"/>
    <w:rsid w:val="57CB5EF1"/>
    <w:rsid w:val="583DFB3D"/>
    <w:rsid w:val="584DCAB6"/>
    <w:rsid w:val="58EEC1DD"/>
    <w:rsid w:val="593F5E4E"/>
    <w:rsid w:val="5AA15A5D"/>
    <w:rsid w:val="5AD614F2"/>
    <w:rsid w:val="5AECFF7F"/>
    <w:rsid w:val="5BB3C5A3"/>
    <w:rsid w:val="5DEA1DC9"/>
    <w:rsid w:val="5E9C1A73"/>
    <w:rsid w:val="5F64E386"/>
    <w:rsid w:val="602255C2"/>
    <w:rsid w:val="60A5F2E6"/>
    <w:rsid w:val="624FD1D8"/>
    <w:rsid w:val="6378809F"/>
    <w:rsid w:val="654D0897"/>
    <w:rsid w:val="6609E844"/>
    <w:rsid w:val="669F1860"/>
    <w:rsid w:val="67AA5B3D"/>
    <w:rsid w:val="691AE6D6"/>
    <w:rsid w:val="6937C87E"/>
    <w:rsid w:val="698F35CE"/>
    <w:rsid w:val="6AD26CEC"/>
    <w:rsid w:val="6AFFFD9A"/>
    <w:rsid w:val="6C066B0E"/>
    <w:rsid w:val="6C843D81"/>
    <w:rsid w:val="6C973EC0"/>
    <w:rsid w:val="6D7483B0"/>
    <w:rsid w:val="6E7E91D5"/>
    <w:rsid w:val="6F6247E6"/>
    <w:rsid w:val="70693059"/>
    <w:rsid w:val="70850D8F"/>
    <w:rsid w:val="71678469"/>
    <w:rsid w:val="721E33AF"/>
    <w:rsid w:val="72776565"/>
    <w:rsid w:val="7350A137"/>
    <w:rsid w:val="73B69B5C"/>
    <w:rsid w:val="740304A3"/>
    <w:rsid w:val="74117F51"/>
    <w:rsid w:val="742DE627"/>
    <w:rsid w:val="74F3F62B"/>
    <w:rsid w:val="75208A1D"/>
    <w:rsid w:val="756EE22A"/>
    <w:rsid w:val="75830E0D"/>
    <w:rsid w:val="77430D1E"/>
    <w:rsid w:val="77EB0500"/>
    <w:rsid w:val="78C57D25"/>
    <w:rsid w:val="79966CF1"/>
    <w:rsid w:val="7A85793C"/>
    <w:rsid w:val="7AB86B0B"/>
    <w:rsid w:val="7BBBEFE2"/>
    <w:rsid w:val="7BF6730D"/>
    <w:rsid w:val="7C4763A9"/>
    <w:rsid w:val="7D27CD69"/>
    <w:rsid w:val="7D739D79"/>
    <w:rsid w:val="7DD238B7"/>
    <w:rsid w:val="7DEBAB17"/>
    <w:rsid w:val="7DFC6F95"/>
    <w:rsid w:val="7E2B6A6D"/>
    <w:rsid w:val="7E2C626F"/>
    <w:rsid w:val="7E561453"/>
    <w:rsid w:val="7E6D616C"/>
    <w:rsid w:val="7E93B980"/>
    <w:rsid w:val="7ED3BFDC"/>
    <w:rsid w:val="7ED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DE7B3F"/>
  <w15:docId w15:val="{8A1743ED-E06B-4FBE-8ABC-74918CA9891A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C2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008C2"/>
    <w:pPr>
      <w:numPr>
        <w:numId w:val="3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008C2"/>
    <w:pPr>
      <w:numPr>
        <w:ilvl w:val="1"/>
        <w:numId w:val="3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008C2"/>
    <w:pPr>
      <w:numPr>
        <w:ilvl w:val="2"/>
        <w:numId w:val="3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008C2"/>
    <w:pPr>
      <w:numPr>
        <w:ilvl w:val="3"/>
        <w:numId w:val="3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008C2"/>
    <w:pPr>
      <w:numPr>
        <w:ilvl w:val="4"/>
        <w:numId w:val="3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008C2"/>
    <w:pPr>
      <w:numPr>
        <w:ilvl w:val="5"/>
        <w:numId w:val="3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008C2"/>
    <w:pPr>
      <w:numPr>
        <w:ilvl w:val="6"/>
        <w:numId w:val="3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008C2"/>
    <w:pPr>
      <w:numPr>
        <w:ilvl w:val="7"/>
        <w:numId w:val="3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008C2"/>
    <w:pPr>
      <w:numPr>
        <w:ilvl w:val="8"/>
        <w:numId w:val="3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39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16239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16239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16239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16239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16239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16239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16239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1623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F008C2"/>
  </w:style>
  <w:style w:type="character" w:customStyle="1" w:styleId="FooterChar">
    <w:name w:val="Footer Char"/>
    <w:basedOn w:val="DefaultParagraphFont"/>
    <w:link w:val="Footer"/>
    <w:rsid w:val="00016239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aliases w:val="AF Fußnotentext,Fußnote,Schriftart: 9 pt,Schriftart: 10 pt,Schriftart: 8 pt,Podrozdział,Footnote,Fußnotentext Char,Fußnotentext Char1 Char,Schriftart: 9 pt Char1 Char,Schriftart: 8 pt Char Char1 Char,Fußnotentext Char Char Cha"/>
    <w:basedOn w:val="Normal"/>
    <w:link w:val="FootnoteTextChar"/>
    <w:qFormat/>
    <w:rsid w:val="00F008C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AF Fußnotentext Char,Fußnote Char,Schriftart: 9 pt Char,Schriftart: 10 pt Char,Schriftart: 8 pt Char,Podrozdział Char,Footnote Char,Fußnotentext Char Char,Fußnotentext Char1 Char Char,Schriftart: 9 pt Char1 Char Char"/>
    <w:basedOn w:val="DefaultParagraphFont"/>
    <w:link w:val="FootnoteText"/>
    <w:rsid w:val="00016239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F008C2"/>
  </w:style>
  <w:style w:type="character" w:customStyle="1" w:styleId="HeaderChar">
    <w:name w:val="Header Char"/>
    <w:basedOn w:val="DefaultParagraphFont"/>
    <w:link w:val="Header"/>
    <w:rsid w:val="00016239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F008C2"/>
    <w:pPr>
      <w:ind w:left="720"/>
    </w:pPr>
    <w:rPr>
      <w:i/>
    </w:rPr>
  </w:style>
  <w:style w:type="character" w:styleId="FootnoteReference">
    <w:name w:val="footnote reference"/>
    <w:aliases w:val="Footnote symbol,Voetnootverwijzing,Times 10 Point,Exposant 3 Point,Nota,Footnote number,fr,o,Footnotemark,FR,Footnotemark1,Footnotemark2,FR1,Footnotemark3,FR2,Footnotemark4,FR3,Footnotemark5,FR4,Footnotemark6,Footnotemark7,Footnotemar"/>
    <w:basedOn w:val="DefaultParagraphFont"/>
    <w:unhideWhenUsed/>
    <w:qFormat/>
    <w:rsid w:val="00F008C2"/>
    <w:rPr>
      <w:sz w:val="24"/>
      <w:vertAlign w:val="superscript"/>
    </w:rPr>
  </w:style>
  <w:style w:type="table" w:styleId="TableGrid">
    <w:name w:val="Table Grid"/>
    <w:basedOn w:val="TableNormal"/>
    <w:uiPriority w:val="59"/>
    <w:rsid w:val="0001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623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2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16239"/>
    <w:rPr>
      <w:vertAlign w:val="superscript"/>
    </w:rPr>
  </w:style>
  <w:style w:type="paragraph" w:styleId="Revision">
    <w:name w:val="Revision"/>
    <w:hidden/>
    <w:uiPriority w:val="99"/>
    <w:semiHidden/>
    <w:rsid w:val="00105FC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nhideWhenUsed/>
    <w:rsid w:val="00071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desk@cor.europa.eu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memportal.cor.europa.eu/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customXml" Target="../customXml/item4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32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customXml" Target="../customXml/item2.xml"/><Relationship Id="rId9" Type="http://schemas.openxmlformats.org/officeDocument/2006/relationships/footnotes" Target="footnotes.xml"/><Relationship Id="rId14" Type="http://schemas.openxmlformats.org/officeDocument/2006/relationships/hyperlink" Target="https://memportal.cor.europa.eu/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customXml" Target="../customXml/item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4472F2E117D4B967754D4AF8B1741" ma:contentTypeVersion="4" ma:contentTypeDescription="Create a new document." ma:contentTypeScope="" ma:versionID="3a0c17379e7f4824783a44753cb350fa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1b80ba028f11d744128e17c14b29bebe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3TERTJPUQSXZ-290178795-4389</_dlc_DocId>
    <_dlc_DocIdUrl xmlns="61ca3f1a-19f4-461d-a43b-0b5ad97b08be">
      <Url>http://dm2016/cor/2021/_layouts/15/DocIdRedir.aspx?ID=3TERTJPUQSXZ-290178795-4389</Url>
      <Description>3TERTJPUQSXZ-290178795-4389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42FF5-7F59-4B35-A0FB-7BEB1933FCDB}"/>
</file>

<file path=customXml/itemProps2.xml><?xml version="1.0" encoding="utf-8"?>
<ds:datastoreItem xmlns:ds="http://schemas.openxmlformats.org/officeDocument/2006/customXml" ds:itemID="{DCAF00C5-2396-48E6-8731-3C9DEFE35B03}"/>
</file>

<file path=customXml/itemProps3.xml><?xml version="1.0" encoding="utf-8"?>
<ds:datastoreItem xmlns:ds="http://schemas.openxmlformats.org/officeDocument/2006/customXml" ds:itemID="{D3D267D9-9D7E-4B36-8807-D731D4D34FF9}"/>
</file>

<file path=customXml/itemProps4.xml><?xml version="1.0" encoding="utf-8"?>
<ds:datastoreItem xmlns:ds="http://schemas.openxmlformats.org/officeDocument/2006/customXml" ds:itemID="{5EB3733F-3977-4935-88DD-EB507FC5CF80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2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on the proposals in view of the European Commission Work programme for 2021</vt:lpstr>
    </vt:vector>
  </TitlesOfParts>
  <Company>CESE-CdR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on the European Committee of the Regions' proposals regarding the European Commission Work Programme for 2022</dc:title>
  <dc:subject>Draft resolution</dc:subject>
  <dc:creator>Andrea Partoune</dc:creator>
  <cp:keywords>COR-2021-02507-00-00-PRES-TRA-EN</cp:keywords>
  <dc:description>Rapporteur: -  Original language: - EN Date of document: - 11/06/2021 Date of meeting: - 30/06/2021 External documents: -  Administrator responsible: -  TARASILA Florin</dc:description>
  <cp:lastModifiedBy>TDriveSVCUserProd</cp:lastModifiedBy>
  <cp:revision>8</cp:revision>
  <cp:lastPrinted>2021-06-10T12:04:00Z</cp:lastPrinted>
  <dcterms:created xsi:type="dcterms:W3CDTF">2021-06-11T12:57:00Z</dcterms:created>
  <dcterms:modified xsi:type="dcterms:W3CDTF">2021-06-11T13:09:00Z</dcterms:modified>
  <cp:category>RESOL-VII/13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11/06/2021, 03/07/2020, 03/07/2020, 08/06/2020, 08/06/2020, 05/06/2020, 05/06/2020</vt:lpwstr>
  </property>
  <property fmtid="{D5CDD505-2E9C-101B-9397-08002B2CF9AE}" pid="4" name="Pref_Time">
    <vt:lpwstr>14:57:20, 11:27:11, 11:01:16, 16:02:35, 15:55:46, 16:12:57, 16:06:06</vt:lpwstr>
  </property>
  <property fmtid="{D5CDD505-2E9C-101B-9397-08002B2CF9AE}" pid="5" name="Pref_User">
    <vt:lpwstr>hnic, amett, htoo, hnic, htoo, hnic, htoo</vt:lpwstr>
  </property>
  <property fmtid="{D5CDD505-2E9C-101B-9397-08002B2CF9AE}" pid="6" name="Pref_FileName">
    <vt:lpwstr>COR-2021-02507-00-00-PRES-TRA-EN-CRR.docx, COR-2020-02622-00-00-RES-TRA-EN-CRR.docx, COR-2020-02622-00-00-RES-CRR-EN.docx, COR-2020-02622-00-01-PRES-TRA-EN-CRR.docx, COR-2020-02622-00-01-PRES-CRR-EN.docx, COR-2020-02622-00-00-PRES-TRA-EN-CRR.docx, COR-202</vt:lpwstr>
  </property>
  <property fmtid="{D5CDD505-2E9C-101B-9397-08002B2CF9AE}" pid="7" name="ContentTypeId">
    <vt:lpwstr>0x01010071F4472F2E117D4B967754D4AF8B1741</vt:lpwstr>
  </property>
  <property fmtid="{D5CDD505-2E9C-101B-9397-08002B2CF9AE}" pid="8" name="_dlc_DocIdItemGuid">
    <vt:lpwstr>a38db644-6ed8-4a86-b23f-2f863845cb88</vt:lpwstr>
  </property>
  <property fmtid="{D5CDD505-2E9C-101B-9397-08002B2CF9AE}" pid="9" name="AvailableTranslations">
    <vt:lpwstr>23;#IT|0774613c-01ed-4e5d-a25d-11d2388de825;#27;#EL|6d4f4d51-af9b-4650-94b4-4276bee85c91;#33;#RO|feb747a2-64cd-4299-af12-4833ddc30497;#17;#LV|46f7e311-5d9f-4663-b433-18aeccb7ace7;#20;#MT|7df99101-6854-4a26-b53a-b88c0da02c26;#8;#EN|f2175f21-25d7-44a3-96da-d6a61b075e1b;#34;#HR|2f555653-ed1a-4fe6-8362-9082d95989e5;#19;#SK|46d9fce0-ef79-4f71-b89b-cd6aa82426b8;#26;#SV|c2ed69e7-a339-43d7-8f22-d93680a92aa0;#4;#PL|1e03da61-4678-4e07-b136-b5024ca9197b;#16;#ES|e7a6b05b-ae16-40c8-add9-68b64b03aeba;#22;#DA|5d49c027-8956-412b-aa16-e85a0f96ad0e;#28;#HU|6b229040-c589-4408-b4c1-4285663d20a8;#14;#DE|f6b31e5a-26fa-4935-b661-318e46daf27e;#21;#PT|50ccc04a-eadd-42ae-a0cb-acaf45f812ba;#30;#ET|ff6c3f4c-b02c-4c3c-ab07-2c37995a7a0a;#31;#NL|55c6556c-b4f4-441d-9acf-c498d4f838bd;#24;#FR|d2afafd3-4c81-4f60-8f52-ee33f2f54ff3;#25;#BG|1a1b3951-7821-4e6a-85f5-5673fc08bd2c;#18;#FI|87606a43-d45f-42d6-b8c9-e1a3457db5b7;#29;#CS|72f9705b-0217-4fd3-bea2-cbc7ed80e26e;#15;#LT|a7ff5ce7-6123-4f68-865a-a57c31810414;#32;#SL|98a412ae-eb01-49e9-ae3d-585a81724cfc</vt:lpwstr>
  </property>
  <property fmtid="{D5CDD505-2E9C-101B-9397-08002B2CF9AE}" pid="10" name="DocumentType_0">
    <vt:lpwstr>PRES|525a421d-ee0e-483d-908c-c63fd6071ecc</vt:lpwstr>
  </property>
  <property fmtid="{D5CDD505-2E9C-101B-9397-08002B2CF9AE}" pid="11" name="MeetingNumber">
    <vt:i4>145</vt:i4>
  </property>
  <property fmtid="{D5CDD505-2E9C-101B-9397-08002B2CF9AE}" pid="12" name="DossierName_0">
    <vt:lpwstr>RESOL-VII|a6de26bd-2066-45a8-82fb-03bfa948dc0d</vt:lpwstr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2507</vt:i4>
  </property>
  <property fmtid="{D5CDD505-2E9C-101B-9397-08002B2CF9AE}" pid="15" name="FicheYear">
    <vt:i4>2021</vt:i4>
  </property>
  <property fmtid="{D5CDD505-2E9C-101B-9397-08002B2CF9AE}" pid="16" name="DocumentVersion">
    <vt:i4>0</vt:i4>
  </property>
  <property fmtid="{D5CDD505-2E9C-101B-9397-08002B2CF9AE}" pid="17" name="DossierNumber">
    <vt:i4>13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65;#RESOL-VII|a6de26bd-2066-45a8-82fb-03bfa948dc0d</vt:lpwstr>
  </property>
  <property fmtid="{D5CDD505-2E9C-101B-9397-08002B2CF9AE}" pid="21" name="DocumentSource">
    <vt:lpwstr>1;#CoR|cb2d75ef-4a7d-4393-b797-49ed6298a5ea</vt:lpwstr>
  </property>
  <property fmtid="{D5CDD505-2E9C-101B-9397-08002B2CF9AE}" pid="23" name="DocumentType">
    <vt:lpwstr>66;#PRES|525a421d-ee0e-483d-908c-c63fd6071ecc</vt:lpwstr>
  </property>
  <property fmtid="{D5CDD505-2E9C-101B-9397-08002B2CF9AE}" pid="24" name="RequestingService">
    <vt:lpwstr>Commission SEDEC</vt:lpwstr>
  </property>
  <property fmtid="{D5CDD505-2E9C-101B-9397-08002B2CF9AE}" pid="25" name="Confidentiality">
    <vt:lpwstr>9;#Unrestricted|826e22d7-d029-4ec0-a450-0c28ff673572</vt:lpwstr>
  </property>
  <property fmtid="{D5CDD505-2E9C-101B-9397-08002B2CF9AE}" pid="26" name="MeetingName_0">
    <vt:lpwstr>SPL-CDR|8f822234-72c1-4721-9e21-9e3c2bc35462</vt:lpwstr>
  </property>
  <property fmtid="{D5CDD505-2E9C-101B-9397-08002B2CF9AE}" pid="27" name="Confidentiality_0">
    <vt:lpwstr>Unrestricted|826e22d7-d029-4ec0-a450-0c28ff673572</vt:lpwstr>
  </property>
  <property fmtid="{D5CDD505-2E9C-101B-9397-08002B2CF9AE}" pid="28" name="OriginalLanguage">
    <vt:lpwstr>8;#EN|f2175f21-25d7-44a3-96da-d6a61b075e1b</vt:lpwstr>
  </property>
  <property fmtid="{D5CDD505-2E9C-101B-9397-08002B2CF9AE}" pid="29" name="MeetingName">
    <vt:lpwstr>67;#SPL-CDR|8f822234-72c1-4721-9e21-9e3c2bc35462</vt:lpwstr>
  </property>
  <property fmtid="{D5CDD505-2E9C-101B-9397-08002B2CF9AE}" pid="30" name="MeetingDate">
    <vt:filetime>2021-06-30T12:00:00Z</vt:filetime>
  </property>
  <property fmtid="{D5CDD505-2E9C-101B-9397-08002B2CF9AE}" pid="31" name="AvailableTranslations_0">
    <vt:lpwstr/>
  </property>
  <property fmtid="{D5CDD505-2E9C-101B-9397-08002B2CF9AE}" pid="32" name="DocumentStatus_0">
    <vt:lpwstr>TRA|150d2a88-1431-44e6-a8ca-0bb753ab8672</vt:lpwstr>
  </property>
  <property fmtid="{D5CDD505-2E9C-101B-9397-08002B2CF9AE}" pid="33" name="OriginalLanguage_0">
    <vt:lpwstr>EN|f2175f21-25d7-44a3-96da-d6a61b075e1b</vt:lpwstr>
  </property>
  <property fmtid="{D5CDD505-2E9C-101B-9397-08002B2CF9AE}" pid="34" name="TaxCatchAll">
    <vt:lpwstr>7;#English|bdbee8c7-072c-4a33-ae34-5b1e06637655</vt:lpwstr>
  </property>
  <property fmtid="{D5CDD505-2E9C-101B-9397-08002B2CF9AE}" pid="35" name="VersionStatus_0">
    <vt:lpwstr>Final|ea5e6674-7b27-4bac-b091-73adbb394efe</vt:lpwstr>
  </property>
  <property fmtid="{D5CDD505-2E9C-101B-9397-08002B2CF9AE}" pid="36" name="VersionStatus">
    <vt:lpwstr>6;#Final|ea5e6674-7b27-4bac-b091-73adbb394efe</vt:lpwstr>
  </property>
  <property fmtid="{D5CDD505-2E9C-101B-9397-08002B2CF9AE}" pid="37" name="DocumentYear">
    <vt:i4>2021</vt:i4>
  </property>
  <property fmtid="{D5CDD505-2E9C-101B-9397-08002B2CF9AE}" pid="38" name="FicheNumber">
    <vt:i4>6331</vt:i4>
  </property>
  <property fmtid="{D5CDD505-2E9C-101B-9397-08002B2CF9AE}" pid="39" name="DocumentLanguage">
    <vt:lpwstr>8;#EN|f2175f21-25d7-44a3-96da-d6a61b075e1b</vt:lpwstr>
  </property>
  <property fmtid="{D5CDD505-2E9C-101B-9397-08002B2CF9AE}" pid="40" name="_docset_NoMedatataSyncRequired">
    <vt:lpwstr>False</vt:lpwstr>
  </property>
  <property fmtid="{D5CDD505-2E9C-101B-9397-08002B2CF9AE}" pid="41" name="p2fcf63a50b541b9841bb70f49df3317">
    <vt:lpwstr>English|bdbee8c7-072c-4a33-ae34-5b1e06637655</vt:lpwstr>
  </property>
  <property fmtid="{D5CDD505-2E9C-101B-9397-08002B2CF9AE}" pid="42" name="CoR_Language">
    <vt:lpwstr>7;#English|bdbee8c7-072c-4a33-ae34-5b1e06637655</vt:lpwstr>
  </property>
</Properties>
</file>