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9" w:type="dxa"/>
        <w:tblLayout w:type="fixed"/>
        <w:tblLook w:val="0000" w:firstRow="0" w:lastRow="0" w:firstColumn="0" w:lastColumn="0" w:noHBand="0" w:noVBand="0"/>
      </w:tblPr>
      <w:tblGrid>
        <w:gridCol w:w="4644"/>
        <w:gridCol w:w="4645"/>
      </w:tblGrid>
      <w:tr w:rsidR="000D6A84" w:rsidRPr="001B33A4" w:rsidTr="00D20AD5">
        <w:trPr>
          <w:cantSplit/>
        </w:trPr>
        <w:tc>
          <w:tcPr>
            <w:tcW w:w="4644" w:type="dxa"/>
          </w:tcPr>
          <w:p w:rsidR="000D6A84" w:rsidRPr="001B33A4" w:rsidRDefault="000D6A84" w:rsidP="001B33A4">
            <w:r w:rsidRPr="001B33A4">
              <w:rPr>
                <w:noProof/>
                <w:lang w:val="fr-BE" w:eastAsia="fr-BE"/>
              </w:rPr>
              <w:drawing>
                <wp:inline distT="0" distB="0" distL="0" distR="0" wp14:anchorId="390DF652" wp14:editId="67AF78EF">
                  <wp:extent cx="1800000" cy="1559336"/>
                  <wp:effectExtent l="0" t="0" r="0" b="3175"/>
                  <wp:docPr id="37" name="Picture 37"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New LOGO\Logo\logo_CoR-vertical-positive-en-quadri_M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0" cy="1559336"/>
                          </a:xfrm>
                          <a:prstGeom prst="rect">
                            <a:avLst/>
                          </a:prstGeom>
                          <a:noFill/>
                          <a:ln>
                            <a:noFill/>
                          </a:ln>
                        </pic:spPr>
                      </pic:pic>
                    </a:graphicData>
                  </a:graphic>
                </wp:inline>
              </w:drawing>
            </w:r>
            <w:r w:rsidR="001B33A4" w:rsidRPr="00745E73">
              <w:rPr>
                <w:b/>
                <w:bCs/>
                <w:noProof/>
                <w:sz w:val="32"/>
                <w:lang w:val="fr-BE" w:eastAsia="fr-BE"/>
              </w:rPr>
              <w:drawing>
                <wp:anchor distT="0" distB="0" distL="114300" distR="114300" simplePos="0" relativeHeight="251661312" behindDoc="0" locked="0" layoutInCell="0" allowOverlap="0" wp14:anchorId="51BF5E29" wp14:editId="358C35F8">
                  <wp:simplePos x="0" y="0"/>
                  <wp:positionH relativeFrom="page">
                    <wp:posOffset>900430</wp:posOffset>
                  </wp:positionH>
                  <wp:positionV relativeFrom="page">
                    <wp:posOffset>10185400</wp:posOffset>
                  </wp:positionV>
                  <wp:extent cx="5760000" cy="266400"/>
                  <wp:effectExtent l="0" t="0" r="0" b="63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5" w:type="dxa"/>
          </w:tcPr>
          <w:p w:rsidR="000D6A84" w:rsidRPr="001B33A4" w:rsidRDefault="000D6A84" w:rsidP="001B33A4"/>
        </w:tc>
      </w:tr>
      <w:tr w:rsidR="00D20AD5" w:rsidRPr="00D20AD5" w:rsidTr="00D20AD5">
        <w:trPr>
          <w:cantSplit/>
        </w:trPr>
        <w:tc>
          <w:tcPr>
            <w:tcW w:w="9289" w:type="dxa"/>
            <w:gridSpan w:val="2"/>
          </w:tcPr>
          <w:p w:rsidR="00D20AD5" w:rsidRPr="00D20AD5" w:rsidRDefault="00D20AD5" w:rsidP="00D20AD5">
            <w:pPr>
              <w:overflowPunct/>
              <w:autoSpaceDE/>
              <w:autoSpaceDN/>
              <w:adjustRightInd/>
              <w:jc w:val="right"/>
              <w:textAlignment w:val="auto"/>
              <w:rPr>
                <w:b/>
                <w:bCs/>
                <w:sz w:val="28"/>
                <w:szCs w:val="28"/>
              </w:rPr>
            </w:pPr>
            <w:r w:rsidRPr="00D20AD5">
              <w:rPr>
                <w:b/>
                <w:bCs/>
                <w:sz w:val="28"/>
                <w:szCs w:val="28"/>
              </w:rPr>
              <w:t>CIVEX-VII/006</w:t>
            </w:r>
          </w:p>
        </w:tc>
      </w:tr>
      <w:tr w:rsidR="00D20AD5" w:rsidRPr="00143E2D" w:rsidTr="00D20AD5">
        <w:trPr>
          <w:cantSplit/>
        </w:trPr>
        <w:tc>
          <w:tcPr>
            <w:tcW w:w="9289" w:type="dxa"/>
            <w:gridSpan w:val="2"/>
          </w:tcPr>
          <w:p w:rsidR="00D20AD5" w:rsidRPr="00143E2D" w:rsidRDefault="00D20AD5" w:rsidP="00D20AD5">
            <w:pPr>
              <w:overflowPunct/>
              <w:autoSpaceDE/>
              <w:autoSpaceDN/>
              <w:adjustRightInd/>
              <w:jc w:val="center"/>
              <w:textAlignment w:val="auto"/>
              <w:rPr>
                <w:b/>
                <w:bCs/>
                <w:sz w:val="28"/>
                <w:szCs w:val="28"/>
              </w:rPr>
            </w:pPr>
            <w:r w:rsidRPr="00143E2D">
              <w:rPr>
                <w:b/>
                <w:bCs/>
                <w:sz w:val="28"/>
                <w:szCs w:val="28"/>
              </w:rPr>
              <w:t>7th commission meeting, 30 March 2021</w:t>
            </w:r>
          </w:p>
        </w:tc>
      </w:tr>
    </w:tbl>
    <w:p w:rsidR="00D20AD5" w:rsidRPr="00143E2D" w:rsidRDefault="00D20AD5" w:rsidP="00D20AD5">
      <w:pPr>
        <w:overflowPunct/>
        <w:autoSpaceDE/>
        <w:autoSpaceDN/>
        <w:adjustRightInd/>
        <w:textAlignment w:val="auto"/>
        <w:rPr>
          <w:szCs w:val="22"/>
        </w:rPr>
      </w:pPr>
    </w:p>
    <w:p w:rsidR="00D20AD5" w:rsidRPr="00143E2D" w:rsidRDefault="00D20AD5" w:rsidP="00D20AD5">
      <w:pPr>
        <w:overflowPunct/>
        <w:autoSpaceDE/>
        <w:autoSpaceDN/>
        <w:adjustRightInd/>
        <w:textAlignment w:val="auto"/>
        <w:rPr>
          <w:szCs w:val="22"/>
        </w:rPr>
      </w:pPr>
    </w:p>
    <w:p w:rsidR="00D20AD5" w:rsidRPr="00143E2D" w:rsidRDefault="00D20AD5" w:rsidP="00D20AD5">
      <w:pPr>
        <w:overflowPunct/>
        <w:autoSpaceDE/>
        <w:autoSpaceDN/>
        <w:adjustRightInd/>
        <w:jc w:val="center"/>
        <w:textAlignment w:val="auto"/>
        <w:rPr>
          <w:b/>
          <w:bCs/>
          <w:sz w:val="28"/>
          <w:szCs w:val="28"/>
        </w:rPr>
      </w:pPr>
      <w:r w:rsidRPr="00143E2D">
        <w:rPr>
          <w:b/>
          <w:sz w:val="28"/>
          <w:szCs w:val="28"/>
        </w:rPr>
        <w:t>DRAFT OPINION</w:t>
      </w:r>
    </w:p>
    <w:p w:rsidR="00D20AD5" w:rsidRPr="00143E2D" w:rsidRDefault="00D20AD5" w:rsidP="00D20AD5">
      <w:pPr>
        <w:overflowPunct/>
        <w:autoSpaceDE/>
        <w:autoSpaceDN/>
        <w:adjustRightInd/>
        <w:textAlignment w:val="auto"/>
        <w:rPr>
          <w:sz w:val="28"/>
          <w:szCs w:val="28"/>
        </w:rPr>
      </w:pPr>
    </w:p>
    <w:p w:rsidR="00D20AD5" w:rsidRPr="00143E2D" w:rsidRDefault="00D20AD5" w:rsidP="00D20AD5">
      <w:pPr>
        <w:overflowPunct/>
        <w:autoSpaceDE/>
        <w:autoSpaceDN/>
        <w:adjustRightInd/>
        <w:jc w:val="center"/>
        <w:textAlignment w:val="auto"/>
        <w:rPr>
          <w:b/>
          <w:bCs/>
          <w:sz w:val="28"/>
          <w:szCs w:val="28"/>
        </w:rPr>
      </w:pPr>
      <w:r w:rsidRPr="00143E2D">
        <w:rPr>
          <w:b/>
          <w:bCs/>
          <w:sz w:val="28"/>
          <w:szCs w:val="28"/>
        </w:rPr>
        <w:t>Commission for Citizenship, Governance, Institutional and External Affairs</w:t>
      </w:r>
    </w:p>
    <w:p w:rsidR="00D20AD5" w:rsidRPr="00143E2D" w:rsidRDefault="00D20AD5" w:rsidP="00D20AD5">
      <w:pPr>
        <w:overflowPunct/>
        <w:autoSpaceDE/>
        <w:autoSpaceDN/>
        <w:adjustRightInd/>
        <w:textAlignment w:val="auto"/>
        <w:rPr>
          <w:sz w:val="28"/>
          <w:szCs w:val="28"/>
        </w:rPr>
      </w:pPr>
      <w:bookmarkStart w:id="0" w:name="_GoBack"/>
      <w:bookmarkEnd w:id="0"/>
    </w:p>
    <w:p w:rsidR="00D20AD5" w:rsidRPr="00143E2D" w:rsidRDefault="00D20AD5" w:rsidP="00D20AD5">
      <w:pPr>
        <w:overflowPunct/>
        <w:autoSpaceDE/>
        <w:autoSpaceDN/>
        <w:adjustRightInd/>
        <w:jc w:val="center"/>
        <w:textAlignment w:val="auto"/>
        <w:rPr>
          <w:b/>
          <w:bCs/>
          <w:sz w:val="28"/>
          <w:szCs w:val="28"/>
        </w:rPr>
      </w:pPr>
      <w:r w:rsidRPr="00143E2D">
        <w:rPr>
          <w:b/>
          <w:bCs/>
          <w:sz w:val="28"/>
          <w:szCs w:val="28"/>
        </w:rPr>
        <w:t>Strategy to strengthen the application of the EU Charter of Fundamental Rights in the EU</w:t>
      </w:r>
    </w:p>
    <w:p w:rsidR="00D20AD5" w:rsidRPr="00143E2D" w:rsidRDefault="00D20AD5" w:rsidP="00D20AD5">
      <w:pPr>
        <w:overflowPunct/>
        <w:autoSpaceDE/>
        <w:autoSpaceDN/>
        <w:adjustRightInd/>
        <w:textAlignment w:val="auto"/>
        <w:rPr>
          <w:szCs w:val="22"/>
        </w:rPr>
      </w:pPr>
    </w:p>
    <w:p w:rsidR="00D20AD5" w:rsidRPr="00143E2D" w:rsidRDefault="00D20AD5" w:rsidP="00D20AD5">
      <w:pPr>
        <w:overflowPunct/>
        <w:autoSpaceDE/>
        <w:autoSpaceDN/>
        <w:adjustRightInd/>
        <w:textAlignment w:val="auto"/>
        <w:rPr>
          <w:szCs w:val="22"/>
        </w:rPr>
      </w:pPr>
    </w:p>
    <w:tbl>
      <w:tblPr>
        <w:tblW w:w="0" w:type="auto"/>
        <w:tblLayout w:type="fixed"/>
        <w:tblLook w:val="0000" w:firstRow="0" w:lastRow="0" w:firstColumn="0" w:lastColumn="0" w:noHBand="0" w:noVBand="0"/>
      </w:tblPr>
      <w:tblGrid>
        <w:gridCol w:w="9289"/>
      </w:tblGrid>
      <w:tr w:rsidR="00D20AD5" w:rsidRPr="00143E2D" w:rsidTr="00DE2B36">
        <w:tc>
          <w:tcPr>
            <w:tcW w:w="9289" w:type="dxa"/>
          </w:tcPr>
          <w:p w:rsidR="00D20AD5" w:rsidRPr="00143E2D" w:rsidRDefault="00D20AD5" w:rsidP="00D20AD5">
            <w:pPr>
              <w:overflowPunct/>
              <w:autoSpaceDE/>
              <w:autoSpaceDN/>
              <w:adjustRightInd/>
              <w:jc w:val="center"/>
              <w:textAlignment w:val="auto"/>
              <w:rPr>
                <w:szCs w:val="22"/>
              </w:rPr>
            </w:pPr>
            <w:r w:rsidRPr="00143E2D">
              <w:rPr>
                <w:szCs w:val="22"/>
              </w:rPr>
              <w:t>_____________</w:t>
            </w:r>
          </w:p>
          <w:p w:rsidR="00D20AD5" w:rsidRPr="00143E2D" w:rsidRDefault="00D20AD5" w:rsidP="00D20AD5">
            <w:pPr>
              <w:overflowPunct/>
              <w:autoSpaceDE/>
              <w:autoSpaceDN/>
              <w:adjustRightInd/>
              <w:jc w:val="center"/>
              <w:textAlignment w:val="auto"/>
              <w:rPr>
                <w:szCs w:val="22"/>
              </w:rPr>
            </w:pPr>
          </w:p>
          <w:p w:rsidR="00D20AD5" w:rsidRPr="00143E2D" w:rsidRDefault="00D20AD5" w:rsidP="00D20AD5">
            <w:pPr>
              <w:overflowPunct/>
              <w:autoSpaceDE/>
              <w:autoSpaceDN/>
              <w:adjustRightInd/>
              <w:jc w:val="center"/>
              <w:textAlignment w:val="auto"/>
              <w:rPr>
                <w:color w:val="1F497D"/>
                <w:szCs w:val="22"/>
              </w:rPr>
            </w:pPr>
            <w:r w:rsidRPr="00143E2D">
              <w:rPr>
                <w:szCs w:val="22"/>
              </w:rPr>
              <w:t xml:space="preserve">Rapporteur: </w:t>
            </w:r>
            <w:r w:rsidRPr="00143E2D">
              <w:rPr>
                <w:b/>
                <w:color w:val="000000"/>
                <w:szCs w:val="22"/>
                <w:lang w:eastAsia="en-GB"/>
              </w:rPr>
              <w:t>Jean-Luc Vanraes (BE/R</w:t>
            </w:r>
            <w:r w:rsidR="004C1373">
              <w:rPr>
                <w:b/>
                <w:color w:val="000000"/>
                <w:szCs w:val="22"/>
                <w:lang w:eastAsia="en-GB"/>
              </w:rPr>
              <w:t xml:space="preserve">enew </w:t>
            </w:r>
            <w:r w:rsidR="00B80B71" w:rsidRPr="00143E2D">
              <w:rPr>
                <w:b/>
                <w:color w:val="000000"/>
                <w:szCs w:val="22"/>
                <w:lang w:eastAsia="en-GB"/>
              </w:rPr>
              <w:t>E</w:t>
            </w:r>
            <w:r w:rsidR="004C1373">
              <w:rPr>
                <w:b/>
                <w:color w:val="000000"/>
                <w:szCs w:val="22"/>
                <w:lang w:eastAsia="en-GB"/>
              </w:rPr>
              <w:t>urope</w:t>
            </w:r>
            <w:r w:rsidRPr="00143E2D">
              <w:rPr>
                <w:b/>
                <w:color w:val="000000"/>
                <w:szCs w:val="22"/>
                <w:lang w:eastAsia="en-GB"/>
              </w:rPr>
              <w:t>)</w:t>
            </w:r>
            <w:r w:rsidRPr="00143E2D">
              <w:rPr>
                <w:color w:val="1F497D"/>
                <w:szCs w:val="22"/>
              </w:rPr>
              <w:t xml:space="preserve"> </w:t>
            </w:r>
          </w:p>
          <w:p w:rsidR="00B80B71" w:rsidRPr="00143E2D" w:rsidRDefault="00B80B71" w:rsidP="00D20AD5">
            <w:pPr>
              <w:overflowPunct/>
              <w:autoSpaceDE/>
              <w:autoSpaceDN/>
              <w:adjustRightInd/>
              <w:jc w:val="center"/>
              <w:textAlignment w:val="auto"/>
              <w:rPr>
                <w:szCs w:val="22"/>
              </w:rPr>
            </w:pPr>
            <w:r w:rsidRPr="00143E2D">
              <w:rPr>
                <w:bCs/>
              </w:rPr>
              <w:t>Member of Uccle Municipal Council</w:t>
            </w:r>
          </w:p>
          <w:p w:rsidR="00D20AD5" w:rsidRPr="00143E2D" w:rsidRDefault="00D20AD5" w:rsidP="00D20AD5">
            <w:pPr>
              <w:overflowPunct/>
              <w:autoSpaceDE/>
              <w:autoSpaceDN/>
              <w:adjustRightInd/>
              <w:jc w:val="center"/>
              <w:textAlignment w:val="auto"/>
              <w:rPr>
                <w:szCs w:val="22"/>
              </w:rPr>
            </w:pPr>
            <w:r w:rsidRPr="00143E2D">
              <w:rPr>
                <w:szCs w:val="22"/>
              </w:rPr>
              <w:t>_____________</w:t>
            </w:r>
          </w:p>
          <w:p w:rsidR="00D20AD5" w:rsidRPr="00143E2D" w:rsidRDefault="00D20AD5" w:rsidP="00D20AD5">
            <w:pPr>
              <w:overflowPunct/>
              <w:autoSpaceDE/>
              <w:autoSpaceDN/>
              <w:adjustRightInd/>
              <w:jc w:val="center"/>
              <w:textAlignment w:val="auto"/>
              <w:rPr>
                <w:szCs w:val="22"/>
              </w:rPr>
            </w:pPr>
          </w:p>
        </w:tc>
      </w:tr>
    </w:tbl>
    <w:p w:rsidR="00444A98" w:rsidRPr="00143E2D" w:rsidRDefault="00444A98" w:rsidP="003A043C">
      <w:pPr>
        <w:jc w:val="left"/>
      </w:pPr>
    </w:p>
    <w:p w:rsidR="00444A98" w:rsidRPr="00143E2D" w:rsidRDefault="00444A98" w:rsidP="003A043C">
      <w:pPr>
        <w:jc w:val="left"/>
      </w:pPr>
    </w:p>
    <w:p w:rsidR="00444A98" w:rsidRPr="00143E2D" w:rsidRDefault="00444A98" w:rsidP="003A043C">
      <w:pPr>
        <w:jc w:val="left"/>
      </w:pPr>
    </w:p>
    <w:p w:rsidR="00444A98" w:rsidRPr="00143E2D" w:rsidRDefault="00444A98" w:rsidP="003A043C">
      <w:pPr>
        <w:jc w:val="left"/>
      </w:pPr>
    </w:p>
    <w:p w:rsidR="00444A98" w:rsidRPr="00143E2D" w:rsidRDefault="00444A98" w:rsidP="003A043C">
      <w:pPr>
        <w:jc w:val="left"/>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9"/>
      </w:tblGrid>
      <w:tr w:rsidR="00444A98" w:rsidRPr="00143E2D" w:rsidTr="00AC7B4A">
        <w:trPr>
          <w:trHeight w:val="1638"/>
        </w:trPr>
        <w:tc>
          <w:tcPr>
            <w:tcW w:w="9289" w:type="dxa"/>
            <w:tcBorders>
              <w:top w:val="single" w:sz="4" w:space="0" w:color="auto"/>
              <w:bottom w:val="single" w:sz="4" w:space="0" w:color="auto"/>
            </w:tcBorders>
          </w:tcPr>
          <w:p w:rsidR="00444A98" w:rsidRPr="00143E2D" w:rsidRDefault="00444A98">
            <w:pPr>
              <w:rPr>
                <w:b/>
                <w:szCs w:val="24"/>
              </w:rPr>
            </w:pPr>
            <w:r w:rsidRPr="00143E2D">
              <w:rPr>
                <w:bCs/>
                <w:iCs/>
                <w:color w:val="000000"/>
              </w:rPr>
              <w:t xml:space="preserve">This document will be discussed at the meeting of the </w:t>
            </w:r>
            <w:r w:rsidRPr="00143E2D">
              <w:rPr>
                <w:b/>
                <w:bCs/>
                <w:iCs/>
                <w:color w:val="000000"/>
              </w:rPr>
              <w:t xml:space="preserve">Commission for </w:t>
            </w:r>
            <w:r w:rsidR="009616A0" w:rsidRPr="00143E2D">
              <w:rPr>
                <w:b/>
                <w:color w:val="000000"/>
              </w:rPr>
              <w:t xml:space="preserve">Citizenship, Governance, Institutional and External Affairs </w:t>
            </w:r>
            <w:r w:rsidRPr="00143E2D">
              <w:rPr>
                <w:bCs/>
                <w:iCs/>
                <w:color w:val="000000"/>
              </w:rPr>
              <w:t xml:space="preserve">to be held </w:t>
            </w:r>
            <w:r w:rsidRPr="00143E2D">
              <w:rPr>
                <w:b/>
                <w:bCs/>
                <w:iCs/>
                <w:color w:val="000000"/>
              </w:rPr>
              <w:t xml:space="preserve">from </w:t>
            </w:r>
            <w:r w:rsidR="009616A0" w:rsidRPr="00143E2D">
              <w:rPr>
                <w:b/>
                <w:bCs/>
                <w:iCs/>
                <w:color w:val="000000"/>
              </w:rPr>
              <w:t>11</w:t>
            </w:r>
            <w:r w:rsidR="004C1373">
              <w:rPr>
                <w:b/>
                <w:bCs/>
                <w:iCs/>
                <w:color w:val="000000"/>
              </w:rPr>
              <w:t xml:space="preserve"> a.m.</w:t>
            </w:r>
            <w:r w:rsidR="009616A0" w:rsidRPr="00143E2D">
              <w:rPr>
                <w:b/>
                <w:bCs/>
                <w:iCs/>
                <w:color w:val="000000"/>
              </w:rPr>
              <w:t xml:space="preserve"> </w:t>
            </w:r>
            <w:r w:rsidRPr="00143E2D">
              <w:rPr>
                <w:b/>
                <w:bCs/>
                <w:iCs/>
                <w:color w:val="000000"/>
              </w:rPr>
              <w:t>to</w:t>
            </w:r>
            <w:r w:rsidRPr="00143E2D">
              <w:rPr>
                <w:bCs/>
                <w:iCs/>
                <w:color w:val="000000"/>
              </w:rPr>
              <w:t xml:space="preserve"> </w:t>
            </w:r>
            <w:r w:rsidR="004C1373">
              <w:rPr>
                <w:b/>
                <w:bCs/>
                <w:iCs/>
                <w:color w:val="000000"/>
              </w:rPr>
              <w:t>4</w:t>
            </w:r>
            <w:r w:rsidR="009616A0" w:rsidRPr="00143E2D">
              <w:rPr>
                <w:b/>
                <w:bCs/>
                <w:iCs/>
                <w:color w:val="000000"/>
              </w:rPr>
              <w:t>.30</w:t>
            </w:r>
            <w:r w:rsidR="004C1373">
              <w:rPr>
                <w:b/>
                <w:bCs/>
                <w:iCs/>
                <w:color w:val="000000"/>
              </w:rPr>
              <w:t xml:space="preserve"> p.m.</w:t>
            </w:r>
            <w:r w:rsidR="009616A0" w:rsidRPr="00143E2D">
              <w:rPr>
                <w:bCs/>
                <w:iCs/>
                <w:color w:val="000000"/>
              </w:rPr>
              <w:t xml:space="preserve"> </w:t>
            </w:r>
            <w:r w:rsidRPr="00143E2D">
              <w:rPr>
                <w:b/>
                <w:bCs/>
                <w:iCs/>
                <w:color w:val="000000"/>
              </w:rPr>
              <w:t xml:space="preserve">on </w:t>
            </w:r>
            <w:r w:rsidR="00B80B71" w:rsidRPr="00143E2D">
              <w:rPr>
                <w:b/>
                <w:bCs/>
                <w:iCs/>
                <w:color w:val="000000"/>
              </w:rPr>
              <w:t xml:space="preserve">Tuesday </w:t>
            </w:r>
            <w:r w:rsidR="009616A0" w:rsidRPr="00143E2D">
              <w:rPr>
                <w:b/>
                <w:bCs/>
                <w:iCs/>
                <w:color w:val="000000"/>
              </w:rPr>
              <w:t>30 March 2021.</w:t>
            </w:r>
            <w:r w:rsidR="00D93098" w:rsidRPr="00143E2D">
              <w:rPr>
                <w:b/>
                <w:bCs/>
                <w:iCs/>
                <w:color w:val="000000"/>
              </w:rPr>
              <w:t xml:space="preserve"> </w:t>
            </w:r>
            <w:r w:rsidRPr="00143E2D">
              <w:rPr>
                <w:bCs/>
                <w:iCs/>
                <w:color w:val="000000"/>
              </w:rPr>
              <w:t xml:space="preserve">To allow time for translation, any amendments must be submitted </w:t>
            </w:r>
            <w:r w:rsidRPr="00143E2D">
              <w:rPr>
                <w:szCs w:val="24"/>
              </w:rPr>
              <w:t>through the online tool for tabling amendments (available on the Members' Portal:</w:t>
            </w:r>
            <w:r w:rsidR="00DE664B" w:rsidRPr="00143E2D">
              <w:rPr>
                <w:szCs w:val="24"/>
              </w:rPr>
              <w:t xml:space="preserve"> </w:t>
            </w:r>
            <w:hyperlink r:id="rId9" w:history="1">
              <w:r w:rsidR="00DE664B" w:rsidRPr="00143E2D">
                <w:rPr>
                  <w:rStyle w:val="Hyperlink"/>
                  <w:rFonts w:eastAsiaTheme="majorEastAsia"/>
                </w:rPr>
                <w:t>https://memportal.cor.europa.eu/</w:t>
              </w:r>
            </w:hyperlink>
            <w:r w:rsidRPr="00143E2D">
              <w:rPr>
                <w:szCs w:val="24"/>
              </w:rPr>
              <w:t xml:space="preserve">) </w:t>
            </w:r>
            <w:r w:rsidRPr="00143E2D">
              <w:rPr>
                <w:b/>
                <w:bCs/>
                <w:iCs/>
                <w:color w:val="000000"/>
              </w:rPr>
              <w:t xml:space="preserve">no later than </w:t>
            </w:r>
            <w:r w:rsidR="004C1373">
              <w:rPr>
                <w:b/>
                <w:bCs/>
                <w:iCs/>
                <w:color w:val="000000"/>
              </w:rPr>
              <w:t>3 p.m.</w:t>
            </w:r>
            <w:r w:rsidR="00B80B71" w:rsidRPr="00143E2D">
              <w:rPr>
                <w:b/>
                <w:bCs/>
                <w:iCs/>
                <w:color w:val="000000"/>
              </w:rPr>
              <w:t xml:space="preserve"> </w:t>
            </w:r>
            <w:r w:rsidRPr="00143E2D">
              <w:rPr>
                <w:b/>
                <w:szCs w:val="24"/>
              </w:rPr>
              <w:t>(Brussels</w:t>
            </w:r>
            <w:r w:rsidR="00B80B71" w:rsidRPr="00143E2D">
              <w:rPr>
                <w:b/>
                <w:szCs w:val="24"/>
              </w:rPr>
              <w:t xml:space="preserve"> </w:t>
            </w:r>
            <w:r w:rsidRPr="00143E2D">
              <w:rPr>
                <w:b/>
                <w:szCs w:val="24"/>
              </w:rPr>
              <w:t>time)</w:t>
            </w:r>
            <w:r w:rsidRPr="00143E2D">
              <w:rPr>
                <w:b/>
                <w:bCs/>
                <w:iCs/>
                <w:color w:val="000000"/>
              </w:rPr>
              <w:t xml:space="preserve"> on </w:t>
            </w:r>
            <w:r w:rsidR="00B80B71" w:rsidRPr="00143E2D">
              <w:rPr>
                <w:b/>
                <w:bCs/>
                <w:iCs/>
                <w:color w:val="000000"/>
              </w:rPr>
              <w:t xml:space="preserve">Wednesday </w:t>
            </w:r>
            <w:r w:rsidR="009616A0" w:rsidRPr="00143E2D">
              <w:rPr>
                <w:b/>
                <w:bCs/>
                <w:iCs/>
                <w:color w:val="000000"/>
              </w:rPr>
              <w:t>17 March</w:t>
            </w:r>
            <w:r w:rsidRPr="00143E2D">
              <w:rPr>
                <w:szCs w:val="24"/>
              </w:rPr>
              <w:t>.</w:t>
            </w:r>
            <w:r w:rsidRPr="00143E2D">
              <w:rPr>
                <w:b/>
                <w:szCs w:val="24"/>
              </w:rPr>
              <w:t xml:space="preserve"> </w:t>
            </w:r>
            <w:r w:rsidRPr="00143E2D">
              <w:rPr>
                <w:szCs w:val="24"/>
              </w:rPr>
              <w:t xml:space="preserve">A user guide is available </w:t>
            </w:r>
            <w:r w:rsidR="00B80B71" w:rsidRPr="00143E2D">
              <w:rPr>
                <w:szCs w:val="24"/>
              </w:rPr>
              <w:t>at</w:t>
            </w:r>
            <w:r w:rsidR="00DE664B" w:rsidRPr="00143E2D">
              <w:rPr>
                <w:szCs w:val="24"/>
              </w:rPr>
              <w:t xml:space="preserve"> </w:t>
            </w:r>
            <w:hyperlink r:id="rId10" w:history="1">
              <w:r w:rsidR="00DE664B" w:rsidRPr="00143E2D">
                <w:rPr>
                  <w:rStyle w:val="Hyperlink"/>
                  <w:rFonts w:eastAsiaTheme="majorEastAsia"/>
                </w:rPr>
                <w:t>https://memportal.cor.europa.eu/</w:t>
              </w:r>
            </w:hyperlink>
            <w:r w:rsidRPr="00143E2D">
              <w:rPr>
                <w:szCs w:val="24"/>
              </w:rPr>
              <w:t>.</w:t>
            </w:r>
          </w:p>
        </w:tc>
      </w:tr>
    </w:tbl>
    <w:p w:rsidR="000D6A84" w:rsidRPr="00143E2D" w:rsidRDefault="000D6A84" w:rsidP="000D6A84"/>
    <w:p w:rsidR="003A785A" w:rsidRDefault="003A785A" w:rsidP="00840E59">
      <w:pPr>
        <w:sectPr w:rsidR="003A785A" w:rsidSect="002B427A">
          <w:headerReference w:type="even" r:id="rId11"/>
          <w:headerReference w:type="default" r:id="rId12"/>
          <w:footerReference w:type="even" r:id="rId13"/>
          <w:footerReference w:type="default" r:id="rId14"/>
          <w:headerReference w:type="first" r:id="rId15"/>
          <w:footerReference w:type="first" r:id="rId16"/>
          <w:pgSz w:w="11907" w:h="16839" w:code="9"/>
          <w:pgMar w:top="1417" w:right="1417" w:bottom="1417" w:left="1417" w:header="709" w:footer="709" w:gutter="0"/>
          <w:pgNumType w:start="1" w:chapStyle="1"/>
          <w:cols w:space="720"/>
          <w:docGrid w:linePitch="299"/>
        </w:sectPr>
      </w:pPr>
    </w:p>
    <w:p w:rsidR="00840E59" w:rsidRPr="00143E2D" w:rsidRDefault="00840E59" w:rsidP="00840E59"/>
    <w:p w:rsidR="00840E59" w:rsidRPr="00143E2D" w:rsidRDefault="00840E59" w:rsidP="00840E59"/>
    <w:p w:rsidR="00840E59" w:rsidRPr="00143E2D" w:rsidRDefault="00840E59" w:rsidP="00840E59"/>
    <w:p w:rsidR="00840E59" w:rsidRPr="00143E2D" w:rsidRDefault="00840E59" w:rsidP="00840E59"/>
    <w:p w:rsidR="00840E59" w:rsidRPr="00143E2D" w:rsidRDefault="00840E59" w:rsidP="00840E59"/>
    <w:p w:rsidR="00840E59" w:rsidRPr="00143E2D" w:rsidRDefault="00840E59" w:rsidP="00840E59"/>
    <w:p w:rsidR="00840E59" w:rsidRPr="00143E2D" w:rsidRDefault="00840E59" w:rsidP="00840E59"/>
    <w:p w:rsidR="00840E59" w:rsidRPr="00143E2D" w:rsidRDefault="00840E59" w:rsidP="00840E59"/>
    <w:p w:rsidR="00840E59" w:rsidRPr="00143E2D" w:rsidRDefault="00840E59" w:rsidP="00840E59"/>
    <w:p w:rsidR="00840E59" w:rsidRPr="00143E2D" w:rsidRDefault="00840E59" w:rsidP="00840E59"/>
    <w:p w:rsidR="00840E59" w:rsidRPr="00143E2D" w:rsidRDefault="00840E59" w:rsidP="00840E59"/>
    <w:p w:rsidR="00840E59" w:rsidRPr="00143E2D" w:rsidRDefault="00840E59" w:rsidP="00840E59"/>
    <w:p w:rsidR="00840E59" w:rsidRPr="00143E2D" w:rsidRDefault="00840E59" w:rsidP="00840E59"/>
    <w:p w:rsidR="00840E59" w:rsidRPr="00143E2D" w:rsidRDefault="00840E59" w:rsidP="00840E59"/>
    <w:p w:rsidR="00840E59" w:rsidRPr="00143E2D" w:rsidRDefault="00840E59" w:rsidP="00840E59"/>
    <w:p w:rsidR="00840E59" w:rsidRPr="00143E2D" w:rsidRDefault="00840E59" w:rsidP="00840E59"/>
    <w:p w:rsidR="00840E59" w:rsidRPr="00143E2D" w:rsidRDefault="00840E59" w:rsidP="00840E59"/>
    <w:p w:rsidR="00840E59" w:rsidRPr="00143E2D" w:rsidRDefault="00840E59" w:rsidP="00840E59"/>
    <w:p w:rsidR="00840E59" w:rsidRPr="00143E2D" w:rsidRDefault="00840E59" w:rsidP="00840E59"/>
    <w:p w:rsidR="00840E59" w:rsidRPr="00143E2D" w:rsidRDefault="00840E59" w:rsidP="00840E59"/>
    <w:p w:rsidR="00840E59" w:rsidRPr="00143E2D" w:rsidRDefault="00840E59" w:rsidP="00840E59"/>
    <w:p w:rsidR="00840E59" w:rsidRPr="00143E2D" w:rsidRDefault="00840E59" w:rsidP="00840E59"/>
    <w:p w:rsidR="00840E59" w:rsidRPr="00143E2D" w:rsidRDefault="00840E59" w:rsidP="00840E59"/>
    <w:p w:rsidR="00840E59" w:rsidRPr="00143E2D" w:rsidRDefault="00840E59" w:rsidP="00840E59"/>
    <w:p w:rsidR="00840E59" w:rsidRPr="00143E2D" w:rsidRDefault="00840E59" w:rsidP="00840E59"/>
    <w:p w:rsidR="00840E59" w:rsidRPr="00143E2D" w:rsidRDefault="00840E59" w:rsidP="00840E59"/>
    <w:p w:rsidR="00840E59" w:rsidRPr="00143E2D" w:rsidRDefault="00840E59" w:rsidP="00840E59"/>
    <w:p w:rsidR="00840E59" w:rsidRPr="00143E2D" w:rsidRDefault="00840E59" w:rsidP="00840E59"/>
    <w:p w:rsidR="00840E59" w:rsidRPr="00143E2D" w:rsidRDefault="00840E59" w:rsidP="00840E59"/>
    <w:p w:rsidR="00840E59" w:rsidRPr="00143E2D" w:rsidRDefault="00840E59" w:rsidP="00840E59"/>
    <w:p w:rsidR="00840E59" w:rsidRPr="00143E2D" w:rsidRDefault="00840E59" w:rsidP="00840E59"/>
    <w:p w:rsidR="00840E59" w:rsidRPr="00143E2D" w:rsidRDefault="00840E59" w:rsidP="00840E59"/>
    <w:p w:rsidR="00840E59" w:rsidRPr="00143E2D" w:rsidRDefault="00840E59" w:rsidP="00840E59"/>
    <w:p w:rsidR="00840E59" w:rsidRPr="00143E2D" w:rsidRDefault="00840E59" w:rsidP="00840E59"/>
    <w:p w:rsidR="00840E59" w:rsidRPr="00143E2D" w:rsidRDefault="00840E59" w:rsidP="00840E59"/>
    <w:p w:rsidR="00D93098" w:rsidRPr="00143E2D" w:rsidRDefault="00D93098" w:rsidP="00840E59"/>
    <w:p w:rsidR="00D93098" w:rsidRPr="00143E2D" w:rsidRDefault="00D93098" w:rsidP="00840E59"/>
    <w:p w:rsidR="00D93098" w:rsidRPr="00143E2D" w:rsidRDefault="00D93098" w:rsidP="00840E59"/>
    <w:p w:rsidR="00D93098" w:rsidRPr="00143E2D" w:rsidRDefault="00D93098" w:rsidP="00840E59"/>
    <w:p w:rsidR="00840E59" w:rsidRPr="00143E2D" w:rsidRDefault="00840E59" w:rsidP="00840E59"/>
    <w:p w:rsidR="00840E59" w:rsidRPr="00143E2D" w:rsidRDefault="00840E59" w:rsidP="00840E59">
      <w:pPr>
        <w:rPr>
          <w:u w:val="single"/>
        </w:rPr>
      </w:pPr>
      <w:r w:rsidRPr="00143E2D">
        <w:rPr>
          <w:u w:val="single"/>
        </w:rPr>
        <w:t>Reference document</w:t>
      </w:r>
    </w:p>
    <w:p w:rsidR="00840E59" w:rsidRPr="00143E2D" w:rsidRDefault="00840E59" w:rsidP="00810751"/>
    <w:p w:rsidR="00B80B71" w:rsidRPr="00143E2D" w:rsidRDefault="009616A0" w:rsidP="00810751">
      <w:r w:rsidRPr="00143E2D">
        <w:t>Communication from the Commission to the European Parliament, the Council, the European Economic and Social Committee and the Committee of the Regions</w:t>
      </w:r>
      <w:r w:rsidR="004C1373">
        <w:t xml:space="preserve"> -</w:t>
      </w:r>
      <w:r w:rsidRPr="00143E2D">
        <w:t xml:space="preserve"> Strategy to strengthen the application of the Charter </w:t>
      </w:r>
      <w:r w:rsidR="00B7452F" w:rsidRPr="00143E2D">
        <w:t>of Fundamental Rights in the EU</w:t>
      </w:r>
      <w:r w:rsidR="00840E59" w:rsidRPr="00143E2D">
        <w:t xml:space="preserve"> </w:t>
      </w:r>
    </w:p>
    <w:p w:rsidR="00444A98" w:rsidRPr="00143E2D" w:rsidRDefault="00D93098" w:rsidP="00810751">
      <w:pPr>
        <w:rPr>
          <w:szCs w:val="22"/>
        </w:rPr>
      </w:pPr>
      <w:r w:rsidRPr="00143E2D">
        <w:rPr>
          <w:color w:val="000000"/>
          <w:shd w:val="clear" w:color="auto" w:fill="FFFFFF"/>
        </w:rPr>
        <w:t>COM(2020) 711 final</w:t>
      </w:r>
    </w:p>
    <w:p w:rsidR="00D20AD5" w:rsidRPr="00143E2D" w:rsidRDefault="00444A98" w:rsidP="00D93098">
      <w:pPr>
        <w:jc w:val="center"/>
        <w:rPr>
          <w:b/>
          <w:color w:val="000000" w:themeColor="text1"/>
        </w:rPr>
      </w:pPr>
      <w:r w:rsidRPr="00143E2D">
        <w:rPr>
          <w:rFonts w:ascii="Times New Roman Bold" w:hAnsi="Times New Roman Bold"/>
          <w:b/>
          <w:bCs/>
          <w:szCs w:val="22"/>
        </w:rPr>
        <w:br w:type="page"/>
      </w:r>
      <w:r w:rsidRPr="00143E2D">
        <w:rPr>
          <w:b/>
        </w:rPr>
        <w:lastRenderedPageBreak/>
        <w:t xml:space="preserve">Draft opinion of the </w:t>
      </w:r>
      <w:r w:rsidR="00D20AD5" w:rsidRPr="00143E2D">
        <w:rPr>
          <w:b/>
        </w:rPr>
        <w:t>Commission for Citizenship, Governance, Institutional and External Affair</w:t>
      </w:r>
      <w:r w:rsidR="005F4FB8" w:rsidRPr="00143E2D">
        <w:rPr>
          <w:b/>
        </w:rPr>
        <w:t xml:space="preserve">s </w:t>
      </w:r>
      <w:r w:rsidR="005F4FB8" w:rsidRPr="00143E2D">
        <w:rPr>
          <w:b/>
          <w:color w:val="000000" w:themeColor="text1"/>
        </w:rPr>
        <w:t>– Strategy to strengthen the application of the EU Charter of Fundamental Rights in the EU</w:t>
      </w:r>
    </w:p>
    <w:p w:rsidR="00D93098" w:rsidRPr="00143E2D" w:rsidRDefault="00D93098" w:rsidP="00D93098">
      <w:pPr>
        <w:jc w:val="center"/>
        <w:rPr>
          <w:b/>
          <w:u w:val="single"/>
        </w:rPr>
      </w:pPr>
    </w:p>
    <w:p w:rsidR="00D20AD5" w:rsidRPr="00143E2D" w:rsidRDefault="00D20AD5" w:rsidP="00D93098">
      <w:pPr>
        <w:numPr>
          <w:ilvl w:val="0"/>
          <w:numId w:val="13"/>
        </w:numPr>
        <w:ind w:left="567" w:hanging="567"/>
        <w:rPr>
          <w:b/>
        </w:rPr>
      </w:pPr>
      <w:r w:rsidRPr="00143E2D">
        <w:rPr>
          <w:b/>
          <w:bCs/>
        </w:rPr>
        <w:t>POLICY</w:t>
      </w:r>
      <w:r w:rsidRPr="00143E2D">
        <w:rPr>
          <w:b/>
        </w:rPr>
        <w:t xml:space="preserve"> RECOMMENDATIONS</w:t>
      </w:r>
    </w:p>
    <w:p w:rsidR="00D20AD5" w:rsidRPr="00143E2D" w:rsidRDefault="00D20AD5" w:rsidP="00D93098"/>
    <w:p w:rsidR="00D20AD5" w:rsidRPr="00143E2D" w:rsidRDefault="00D20AD5" w:rsidP="00D93098">
      <w:r w:rsidRPr="00143E2D">
        <w:t>THE EUROPEAN COMMITTEE OF THE REGIONS</w:t>
      </w:r>
    </w:p>
    <w:p w:rsidR="00D20AD5" w:rsidRPr="00143E2D" w:rsidRDefault="00D20AD5" w:rsidP="00D93098"/>
    <w:p w:rsidR="005F4FB8" w:rsidRPr="00143E2D" w:rsidRDefault="005F4FB8" w:rsidP="00D93098">
      <w:pPr>
        <w:pStyle w:val="ListParagraph"/>
        <w:numPr>
          <w:ilvl w:val="0"/>
          <w:numId w:val="19"/>
        </w:numPr>
        <w:ind w:left="567" w:hanging="567"/>
        <w:contextualSpacing w:val="0"/>
      </w:pPr>
      <w:r w:rsidRPr="00143E2D">
        <w:t>welcomes the new Strategy to strengthen the application of the EU Charter of Fundamental Rights, as it specifically acknowledges the role of local and regional authorities (LRAs) as central stakeholders in promoting and protecting Charter rights;</w:t>
      </w:r>
    </w:p>
    <w:p w:rsidR="005F4FB8" w:rsidRPr="00143E2D" w:rsidRDefault="005F4FB8" w:rsidP="00D93098">
      <w:pPr>
        <w:pStyle w:val="ListParagraph"/>
        <w:ind w:left="567"/>
        <w:contextualSpacing w:val="0"/>
      </w:pPr>
    </w:p>
    <w:p w:rsidR="005F4FB8" w:rsidRPr="00143E2D" w:rsidRDefault="005F4FB8" w:rsidP="00D93098">
      <w:pPr>
        <w:pStyle w:val="ListParagraph"/>
        <w:numPr>
          <w:ilvl w:val="0"/>
          <w:numId w:val="19"/>
        </w:numPr>
        <w:ind w:left="567" w:hanging="567"/>
        <w:contextualSpacing w:val="0"/>
      </w:pPr>
      <w:r w:rsidRPr="00143E2D">
        <w:t>calls for continuous involvement of LRAs</w:t>
      </w:r>
      <w:r w:rsidR="003E7C11">
        <w:t>,</w:t>
      </w:r>
      <w:r w:rsidRPr="00143E2D">
        <w:t xml:space="preserve"> a fundamental level of democratic legitimacy, in promoting Charter values and monitoring compliance with the principles associated with it;</w:t>
      </w:r>
    </w:p>
    <w:p w:rsidR="005F4FB8" w:rsidRPr="00143E2D" w:rsidRDefault="005F4FB8" w:rsidP="00D93098">
      <w:pPr>
        <w:pStyle w:val="ListParagraph"/>
        <w:ind w:left="567"/>
        <w:contextualSpacing w:val="0"/>
      </w:pPr>
    </w:p>
    <w:p w:rsidR="005F4FB8" w:rsidRPr="00143E2D" w:rsidRDefault="005F4FB8" w:rsidP="00D93098">
      <w:pPr>
        <w:pStyle w:val="ListParagraph"/>
        <w:numPr>
          <w:ilvl w:val="0"/>
          <w:numId w:val="19"/>
        </w:numPr>
        <w:ind w:left="567" w:hanging="567"/>
        <w:contextualSpacing w:val="0"/>
      </w:pPr>
      <w:r w:rsidRPr="00143E2D">
        <w:t>agrees that the EU should continue to encourage the exchange of good practice and experience between all levels of government (national, regional and local) and the development of more targeted guidance and training on the Charter;</w:t>
      </w:r>
    </w:p>
    <w:p w:rsidR="005F4FB8" w:rsidRPr="00143E2D" w:rsidRDefault="005F4FB8" w:rsidP="00D93098">
      <w:pPr>
        <w:pStyle w:val="ListParagraph"/>
        <w:ind w:left="567"/>
        <w:contextualSpacing w:val="0"/>
      </w:pPr>
    </w:p>
    <w:p w:rsidR="005333D6" w:rsidRPr="00143E2D" w:rsidRDefault="005333D6" w:rsidP="00D93098">
      <w:pPr>
        <w:pStyle w:val="ListParagraph"/>
        <w:numPr>
          <w:ilvl w:val="0"/>
          <w:numId w:val="19"/>
        </w:numPr>
        <w:ind w:left="567" w:hanging="567"/>
        <w:contextualSpacing w:val="0"/>
      </w:pPr>
      <w:r w:rsidRPr="00143E2D">
        <w:t xml:space="preserve">underlines the importance of the targeted guidance </w:t>
      </w:r>
      <w:r w:rsidR="003E7C11">
        <w:t>for</w:t>
      </w:r>
      <w:r w:rsidR="003E7C11" w:rsidRPr="00143E2D">
        <w:t xml:space="preserve"> </w:t>
      </w:r>
      <w:r w:rsidRPr="00143E2D">
        <w:t>explain</w:t>
      </w:r>
      <w:r w:rsidR="003E7C11">
        <w:t>ing</w:t>
      </w:r>
      <w:r w:rsidRPr="00143E2D">
        <w:t xml:space="preserve"> why fundamental rights are important for </w:t>
      </w:r>
      <w:r w:rsidR="003E7C11">
        <w:t>LRAs</w:t>
      </w:r>
      <w:r w:rsidRPr="00143E2D">
        <w:t xml:space="preserve">, </w:t>
      </w:r>
      <w:r w:rsidR="003E7C11">
        <w:t>partly</w:t>
      </w:r>
      <w:r w:rsidR="003E7C11" w:rsidRPr="00143E2D">
        <w:t xml:space="preserve"> </w:t>
      </w:r>
      <w:r w:rsidRPr="00143E2D">
        <w:t xml:space="preserve">by providing examples </w:t>
      </w:r>
      <w:r w:rsidR="003E7C11" w:rsidRPr="00143E2D">
        <w:t>o</w:t>
      </w:r>
      <w:r w:rsidR="003E7C11">
        <w:t>f</w:t>
      </w:r>
      <w:r w:rsidR="003E7C11" w:rsidRPr="00143E2D">
        <w:t xml:space="preserve"> </w:t>
      </w:r>
      <w:r w:rsidRPr="00143E2D">
        <w:t>how authorities can make use of the EU Charter;</w:t>
      </w:r>
    </w:p>
    <w:p w:rsidR="005333D6" w:rsidRPr="00143E2D" w:rsidRDefault="005333D6" w:rsidP="00D93098">
      <w:pPr>
        <w:pStyle w:val="ListParagraph"/>
        <w:ind w:left="567"/>
        <w:contextualSpacing w:val="0"/>
      </w:pPr>
    </w:p>
    <w:p w:rsidR="005333D6" w:rsidRPr="00143E2D" w:rsidRDefault="005333D6" w:rsidP="00D93098">
      <w:pPr>
        <w:pStyle w:val="ListParagraph"/>
        <w:numPr>
          <w:ilvl w:val="0"/>
          <w:numId w:val="19"/>
        </w:numPr>
        <w:ind w:left="567" w:hanging="567"/>
        <w:contextualSpacing w:val="0"/>
      </w:pPr>
      <w:r w:rsidRPr="00143E2D">
        <w:t xml:space="preserve">notes the important role </w:t>
      </w:r>
      <w:r w:rsidR="003E7C11">
        <w:t xml:space="preserve">that </w:t>
      </w:r>
      <w:r w:rsidRPr="00143E2D">
        <w:t xml:space="preserve">national and European associations of </w:t>
      </w:r>
      <w:r w:rsidR="003E7C11">
        <w:t>LRAs</w:t>
      </w:r>
      <w:r w:rsidRPr="00143E2D">
        <w:t xml:space="preserve"> can play in this context, and is committed to step up its cooperation with them in order to raise </w:t>
      </w:r>
      <w:r w:rsidR="003E7C11" w:rsidRPr="003E7C11">
        <w:t>LRAs</w:t>
      </w:r>
      <w:r w:rsidR="003E7C11">
        <w:t>'</w:t>
      </w:r>
      <w:r w:rsidR="003E7C11" w:rsidRPr="003E7C11">
        <w:t xml:space="preserve"> </w:t>
      </w:r>
      <w:r w:rsidRPr="00143E2D">
        <w:t>awareness and understanding with regard to the EU Charter;</w:t>
      </w:r>
    </w:p>
    <w:p w:rsidR="005333D6" w:rsidRPr="00143E2D" w:rsidRDefault="005333D6" w:rsidP="00D93098"/>
    <w:p w:rsidR="005F4FB8" w:rsidRPr="00143E2D" w:rsidRDefault="005F4FB8" w:rsidP="00D93098">
      <w:pPr>
        <w:pStyle w:val="ListParagraph"/>
        <w:numPr>
          <w:ilvl w:val="0"/>
          <w:numId w:val="19"/>
        </w:numPr>
        <w:ind w:left="567" w:hanging="567"/>
        <w:contextualSpacing w:val="0"/>
      </w:pPr>
      <w:r w:rsidRPr="00143E2D">
        <w:t>stresses the importance of setting up contact points</w:t>
      </w:r>
      <w:r w:rsidR="005333D6" w:rsidRPr="00143E2D">
        <w:t>,</w:t>
      </w:r>
      <w:r w:rsidRPr="00143E2D">
        <w:t> which will facilitate the flow of information on the Charter between different levels of government and can also provide guidance for LRAs on how to shape their policies in full compliance with the Charter;</w:t>
      </w:r>
    </w:p>
    <w:p w:rsidR="005F4FB8" w:rsidRPr="00143E2D" w:rsidRDefault="005F4FB8" w:rsidP="00D93098">
      <w:pPr>
        <w:pStyle w:val="ListParagraph"/>
        <w:ind w:left="567"/>
        <w:contextualSpacing w:val="0"/>
      </w:pPr>
    </w:p>
    <w:p w:rsidR="005F4FB8" w:rsidRPr="00143E2D" w:rsidRDefault="005F4FB8" w:rsidP="00D93098">
      <w:pPr>
        <w:pStyle w:val="ListParagraph"/>
        <w:numPr>
          <w:ilvl w:val="0"/>
          <w:numId w:val="19"/>
        </w:numPr>
        <w:ind w:left="567" w:hanging="567"/>
        <w:contextualSpacing w:val="0"/>
      </w:pPr>
      <w:r w:rsidRPr="00143E2D">
        <w:t>welcomes the funds allocated by the European Commission through the Rights and Values Programme to help municipalities and associations to work together on issues of common interest</w:t>
      </w:r>
      <w:r w:rsidR="003E7C11">
        <w:t>,</w:t>
      </w:r>
      <w:r w:rsidRPr="00143E2D">
        <w:t xml:space="preserve"> enabling the exchange of good practice</w:t>
      </w:r>
      <w:r w:rsidR="003E7C11">
        <w:t>,</w:t>
      </w:r>
      <w:r w:rsidRPr="00143E2D">
        <w:t xml:space="preserve"> and to develop networks of towns;</w:t>
      </w:r>
    </w:p>
    <w:p w:rsidR="005F4FB8" w:rsidRPr="00143E2D" w:rsidRDefault="005F4FB8" w:rsidP="00D93098">
      <w:pPr>
        <w:pStyle w:val="ListParagraph"/>
        <w:ind w:left="567"/>
        <w:contextualSpacing w:val="0"/>
      </w:pPr>
    </w:p>
    <w:p w:rsidR="005F4FB8" w:rsidRPr="00143E2D" w:rsidRDefault="005F4FB8" w:rsidP="00D93098">
      <w:pPr>
        <w:pStyle w:val="ListParagraph"/>
        <w:numPr>
          <w:ilvl w:val="0"/>
          <w:numId w:val="19"/>
        </w:numPr>
        <w:ind w:left="567" w:hanging="567"/>
        <w:contextualSpacing w:val="0"/>
      </w:pPr>
      <w:r w:rsidRPr="00143E2D">
        <w:t xml:space="preserve">acknowledges </w:t>
      </w:r>
      <w:r w:rsidR="003E7C11">
        <w:t>that</w:t>
      </w:r>
      <w:r w:rsidRPr="00143E2D">
        <w:t xml:space="preserve"> all EU</w:t>
      </w:r>
      <w:r w:rsidR="003E7C11">
        <w:t xml:space="preserve"> Member States need</w:t>
      </w:r>
      <w:r w:rsidR="003E7C11" w:rsidRPr="00143E2D">
        <w:t xml:space="preserve"> </w:t>
      </w:r>
      <w:r w:rsidRPr="00143E2D">
        <w:t>to appoint local coordinators with a clear mission statement on the implementation of the Charter, as proposed by the European Commission;</w:t>
      </w:r>
    </w:p>
    <w:p w:rsidR="005F4FB8" w:rsidRPr="00143E2D" w:rsidRDefault="005F4FB8" w:rsidP="00D93098">
      <w:pPr>
        <w:pStyle w:val="ListParagraph"/>
        <w:ind w:left="567"/>
        <w:contextualSpacing w:val="0"/>
      </w:pPr>
    </w:p>
    <w:p w:rsidR="005F4FB8" w:rsidRPr="00143E2D" w:rsidRDefault="005F4FB8" w:rsidP="00D93098">
      <w:pPr>
        <w:pStyle w:val="ListParagraph"/>
        <w:numPr>
          <w:ilvl w:val="0"/>
          <w:numId w:val="19"/>
        </w:numPr>
        <w:ind w:left="567" w:hanging="567"/>
        <w:contextualSpacing w:val="0"/>
      </w:pPr>
      <w:r w:rsidRPr="00143E2D">
        <w:t xml:space="preserve">considering the key role </w:t>
      </w:r>
      <w:r w:rsidR="003E7C11">
        <w:t>played by</w:t>
      </w:r>
      <w:r w:rsidR="003E7C11" w:rsidRPr="00143E2D">
        <w:t xml:space="preserve"> </w:t>
      </w:r>
      <w:r w:rsidR="003E7C11">
        <w:t>LRAs</w:t>
      </w:r>
      <w:r w:rsidRPr="00143E2D">
        <w:t xml:space="preserve"> in ensuring the application of the Charter of Fundamental Rights, believes that the participation of the CoR is essential in the inter-institutional dialogue concerning the Charter;</w:t>
      </w:r>
    </w:p>
    <w:p w:rsidR="005F4FB8" w:rsidRPr="00143E2D" w:rsidRDefault="005F4FB8" w:rsidP="00D93098">
      <w:pPr>
        <w:pStyle w:val="ListParagraph"/>
        <w:ind w:left="567"/>
        <w:contextualSpacing w:val="0"/>
      </w:pPr>
    </w:p>
    <w:p w:rsidR="005F4FB8" w:rsidRPr="00143E2D" w:rsidRDefault="005F4FB8" w:rsidP="00D93098">
      <w:pPr>
        <w:pStyle w:val="ListParagraph"/>
        <w:numPr>
          <w:ilvl w:val="0"/>
          <w:numId w:val="19"/>
        </w:numPr>
        <w:ind w:left="567" w:hanging="567"/>
        <w:contextualSpacing w:val="0"/>
      </w:pPr>
      <w:r w:rsidRPr="00143E2D">
        <w:t xml:space="preserve">considers that the </w:t>
      </w:r>
      <w:r w:rsidR="005333D6" w:rsidRPr="00143E2D">
        <w:t>European C</w:t>
      </w:r>
      <w:r w:rsidRPr="00143E2D">
        <w:t>ommission should systematically perform a cross</w:t>
      </w:r>
      <w:r w:rsidR="003E7C11">
        <w:t>-</w:t>
      </w:r>
      <w:r w:rsidRPr="00143E2D">
        <w:t>check against the application of the Charter prior to granting EU</w:t>
      </w:r>
      <w:r w:rsidR="003E7C11">
        <w:t xml:space="preserve"> </w:t>
      </w:r>
      <w:r w:rsidRPr="00143E2D">
        <w:t>funds</w:t>
      </w:r>
      <w:r w:rsidR="003E7C11">
        <w:t>,</w:t>
      </w:r>
      <w:r w:rsidRPr="00143E2D">
        <w:t xml:space="preserve"> </w:t>
      </w:r>
      <w:r w:rsidR="003E7C11">
        <w:t>using</w:t>
      </w:r>
      <w:r w:rsidR="003E7C11" w:rsidRPr="00143E2D">
        <w:t xml:space="preserve"> </w:t>
      </w:r>
      <w:r w:rsidRPr="00143E2D">
        <w:t>a clear and transparent procedure;</w:t>
      </w:r>
    </w:p>
    <w:p w:rsidR="005F4FB8" w:rsidRPr="00143E2D" w:rsidRDefault="005F4FB8" w:rsidP="00D93098">
      <w:pPr>
        <w:pStyle w:val="ListParagraph"/>
        <w:ind w:left="567"/>
        <w:contextualSpacing w:val="0"/>
      </w:pPr>
    </w:p>
    <w:p w:rsidR="005F4FB8" w:rsidRPr="00143E2D" w:rsidRDefault="005F4FB8" w:rsidP="00D93098">
      <w:pPr>
        <w:pStyle w:val="ListParagraph"/>
        <w:numPr>
          <w:ilvl w:val="0"/>
          <w:numId w:val="19"/>
        </w:numPr>
        <w:ind w:left="567" w:hanging="567"/>
        <w:contextualSpacing w:val="0"/>
      </w:pPr>
      <w:r w:rsidRPr="00143E2D">
        <w:lastRenderedPageBreak/>
        <w:t xml:space="preserve">calls for the Fundamental Rights Charter </w:t>
      </w:r>
      <w:r w:rsidR="003E7C11">
        <w:t xml:space="preserve">to be enacted </w:t>
      </w:r>
      <w:r w:rsidRPr="00143E2D">
        <w:t xml:space="preserve">on Europe </w:t>
      </w:r>
      <w:r w:rsidR="003E7C11">
        <w:t>D</w:t>
      </w:r>
      <w:r w:rsidR="003E7C11" w:rsidRPr="00143E2D">
        <w:t xml:space="preserve">ay </w:t>
      </w:r>
      <w:r w:rsidRPr="00143E2D">
        <w:t>(</w:t>
      </w:r>
      <w:r w:rsidR="003E7C11">
        <w:t xml:space="preserve">9 </w:t>
      </w:r>
      <w:r w:rsidRPr="00143E2D">
        <w:t xml:space="preserve">May) and asks its members to promote local activities explaining and stressing the paramount importance of </w:t>
      </w:r>
      <w:r w:rsidR="003E7C11">
        <w:t>f</w:t>
      </w:r>
      <w:r w:rsidRPr="00143E2D">
        <w:t xml:space="preserve">undamental </w:t>
      </w:r>
      <w:r w:rsidR="003E7C11">
        <w:t>r</w:t>
      </w:r>
      <w:r w:rsidR="003E7C11" w:rsidRPr="00143E2D">
        <w:t xml:space="preserve">ights </w:t>
      </w:r>
      <w:r w:rsidRPr="00143E2D">
        <w:t xml:space="preserve">and the European Charter </w:t>
      </w:r>
      <w:r w:rsidR="003E7C11">
        <w:t>for</w:t>
      </w:r>
      <w:r w:rsidR="003E7C11" w:rsidRPr="00143E2D">
        <w:t xml:space="preserve"> </w:t>
      </w:r>
      <w:r w:rsidRPr="00143E2D">
        <w:t>our democracies;</w:t>
      </w:r>
    </w:p>
    <w:p w:rsidR="005F4FB8" w:rsidRPr="00143E2D" w:rsidRDefault="005F4FB8" w:rsidP="00AC7B4A">
      <w:pPr>
        <w:pStyle w:val="ListParagraph"/>
        <w:keepNext/>
        <w:ind w:left="567"/>
        <w:contextualSpacing w:val="0"/>
      </w:pPr>
    </w:p>
    <w:p w:rsidR="005F4FB8" w:rsidRPr="00143E2D" w:rsidRDefault="005F4FB8" w:rsidP="00AC7B4A">
      <w:pPr>
        <w:pStyle w:val="ListParagraph"/>
        <w:keepNext/>
        <w:numPr>
          <w:ilvl w:val="0"/>
          <w:numId w:val="19"/>
        </w:numPr>
        <w:ind w:left="567" w:hanging="567"/>
        <w:contextualSpacing w:val="0"/>
      </w:pPr>
      <w:r w:rsidRPr="00143E2D">
        <w:t>fully supports the accession of the European Union to the European Convention on Human Rights and Fundamental Freedoms;</w:t>
      </w:r>
    </w:p>
    <w:p w:rsidR="005F4FB8" w:rsidRPr="00143E2D" w:rsidRDefault="005F4FB8" w:rsidP="00AC7B4A">
      <w:pPr>
        <w:pStyle w:val="ListParagraph"/>
        <w:keepNext/>
        <w:ind w:left="567"/>
        <w:contextualSpacing w:val="0"/>
      </w:pPr>
    </w:p>
    <w:p w:rsidR="005F4FB8" w:rsidRDefault="005F4FB8" w:rsidP="00AC7B4A">
      <w:pPr>
        <w:pStyle w:val="ListParagraph"/>
        <w:keepNext/>
        <w:numPr>
          <w:ilvl w:val="0"/>
          <w:numId w:val="19"/>
        </w:numPr>
        <w:ind w:left="567" w:hanging="567"/>
        <w:contextualSpacing w:val="0"/>
      </w:pPr>
      <w:r w:rsidRPr="00143E2D">
        <w:t xml:space="preserve">believes that its </w:t>
      </w:r>
      <w:r w:rsidR="002A3B7F">
        <w:t>achievement</w:t>
      </w:r>
      <w:r w:rsidR="002A3B7F" w:rsidRPr="00143E2D">
        <w:t xml:space="preserve"> </w:t>
      </w:r>
      <w:r w:rsidRPr="00143E2D">
        <w:t xml:space="preserve">will constitute a major milestone in strengthening the application of the EU </w:t>
      </w:r>
      <w:r w:rsidR="002A3B7F">
        <w:t>C</w:t>
      </w:r>
      <w:r w:rsidR="002A3B7F" w:rsidRPr="00143E2D">
        <w:t xml:space="preserve">harter </w:t>
      </w:r>
      <w:r w:rsidRPr="00143E2D">
        <w:t xml:space="preserve">of Fundamental Rights in the European Union and at the same time, </w:t>
      </w:r>
      <w:r w:rsidR="002A3B7F">
        <w:t xml:space="preserve">that this </w:t>
      </w:r>
      <w:r w:rsidRPr="00143E2D">
        <w:t>will further strengthen the EU</w:t>
      </w:r>
      <w:r w:rsidR="002A3B7F">
        <w:t>'s</w:t>
      </w:r>
      <w:r w:rsidRPr="00143E2D">
        <w:t xml:space="preserve"> position </w:t>
      </w:r>
      <w:r w:rsidR="002A3B7F">
        <w:t>on</w:t>
      </w:r>
      <w:r w:rsidR="002A3B7F" w:rsidRPr="00143E2D">
        <w:t xml:space="preserve"> </w:t>
      </w:r>
      <w:r w:rsidRPr="00143E2D">
        <w:t xml:space="preserve">trying to </w:t>
      </w:r>
      <w:r w:rsidR="002A3B7F">
        <w:t>make</w:t>
      </w:r>
      <w:r w:rsidR="002A3B7F" w:rsidRPr="00143E2D">
        <w:t xml:space="preserve"> </w:t>
      </w:r>
      <w:r w:rsidRPr="00143E2D">
        <w:t xml:space="preserve">human rights a </w:t>
      </w:r>
      <w:r w:rsidR="002A3B7F">
        <w:t>core component</w:t>
      </w:r>
      <w:r w:rsidRPr="00143E2D">
        <w:t xml:space="preserve"> of its external action.</w:t>
      </w:r>
    </w:p>
    <w:p w:rsidR="002B427A" w:rsidRDefault="002B427A" w:rsidP="00D44475">
      <w:pPr>
        <w:keepNext/>
      </w:pPr>
    </w:p>
    <w:p w:rsidR="002B427A" w:rsidRDefault="002B427A" w:rsidP="002B427A">
      <w:pPr>
        <w:keepNext/>
      </w:pPr>
      <w:r>
        <w:br w:type="page"/>
      </w:r>
    </w:p>
    <w:p w:rsidR="00444A98" w:rsidRPr="00143E2D" w:rsidRDefault="005F4FB8" w:rsidP="00AC7B4A">
      <w:pPr>
        <w:pStyle w:val="ListParagraph"/>
        <w:numPr>
          <w:ilvl w:val="0"/>
          <w:numId w:val="13"/>
        </w:numPr>
        <w:rPr>
          <w:b/>
          <w:bCs/>
        </w:rPr>
      </w:pPr>
      <w:r w:rsidRPr="00143E2D">
        <w:lastRenderedPageBreak/>
        <w:tab/>
      </w:r>
      <w:r w:rsidR="00444A98" w:rsidRPr="00143E2D">
        <w:rPr>
          <w:b/>
          <w:bCs/>
        </w:rPr>
        <w:t>PROCEDURE</w:t>
      </w:r>
    </w:p>
    <w:p w:rsidR="00444A98" w:rsidRPr="00143E2D" w:rsidRDefault="00444A98" w:rsidP="003A04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5441"/>
      </w:tblGrid>
      <w:tr w:rsidR="00444A98" w:rsidRPr="00143E2D" w:rsidTr="00B7452F">
        <w:trPr>
          <w:trHeight w:val="660"/>
        </w:trPr>
        <w:tc>
          <w:tcPr>
            <w:tcW w:w="3848" w:type="dxa"/>
            <w:noWrap/>
          </w:tcPr>
          <w:p w:rsidR="00444A98" w:rsidRPr="00143E2D" w:rsidRDefault="00444A98" w:rsidP="006D78CA">
            <w:pPr>
              <w:jc w:val="left"/>
              <w:rPr>
                <w:b/>
                <w:bCs/>
              </w:rPr>
            </w:pPr>
            <w:r w:rsidRPr="00143E2D">
              <w:rPr>
                <w:b/>
                <w:bCs/>
              </w:rPr>
              <w:t>Title</w:t>
            </w:r>
          </w:p>
          <w:p w:rsidR="00444A98" w:rsidRPr="00143E2D" w:rsidRDefault="00444A98" w:rsidP="006D78CA">
            <w:pPr>
              <w:jc w:val="left"/>
            </w:pPr>
          </w:p>
        </w:tc>
        <w:tc>
          <w:tcPr>
            <w:tcW w:w="5441" w:type="dxa"/>
            <w:noWrap/>
          </w:tcPr>
          <w:p w:rsidR="00444A98" w:rsidRPr="00143E2D" w:rsidRDefault="00B7452F" w:rsidP="003A043C">
            <w:r w:rsidRPr="00143E2D">
              <w:t>Opinion on the Strategy to strengthen the application of the EU Charter of Fundamental Rights in the EU</w:t>
            </w:r>
          </w:p>
        </w:tc>
      </w:tr>
      <w:tr w:rsidR="00444A98" w:rsidRPr="00143E2D" w:rsidTr="006D78CA">
        <w:tc>
          <w:tcPr>
            <w:tcW w:w="3848" w:type="dxa"/>
            <w:noWrap/>
          </w:tcPr>
          <w:p w:rsidR="00444A98" w:rsidRPr="00143E2D" w:rsidRDefault="00B7452F" w:rsidP="006D78CA">
            <w:pPr>
              <w:jc w:val="left"/>
              <w:rPr>
                <w:b/>
                <w:bCs/>
              </w:rPr>
            </w:pPr>
            <w:r w:rsidRPr="00143E2D">
              <w:rPr>
                <w:b/>
                <w:bCs/>
              </w:rPr>
              <w:t>Reference(s)</w:t>
            </w:r>
          </w:p>
        </w:tc>
        <w:tc>
          <w:tcPr>
            <w:tcW w:w="5441" w:type="dxa"/>
            <w:noWrap/>
          </w:tcPr>
          <w:p w:rsidR="005F4FB8" w:rsidRPr="00143E2D" w:rsidRDefault="00B7452F" w:rsidP="00810751">
            <w:r w:rsidRPr="00143E2D">
              <w:t xml:space="preserve">Communication from the Commission to the European Parliament, the Council, the European Economic and Social Committee and the Committee of the Regions Strategy to strengthen the application of the Charter of Fundamental Rights in the EU </w:t>
            </w:r>
          </w:p>
          <w:p w:rsidR="00444A98" w:rsidRPr="00143E2D" w:rsidRDefault="00D93098" w:rsidP="00810751">
            <w:r w:rsidRPr="00143E2D">
              <w:t xml:space="preserve">COM(2020) </w:t>
            </w:r>
            <w:r w:rsidR="00B7452F" w:rsidRPr="00143E2D">
              <w:t xml:space="preserve">711 </w:t>
            </w:r>
            <w:r w:rsidR="005F4FB8" w:rsidRPr="00143E2D">
              <w:t>final</w:t>
            </w:r>
          </w:p>
        </w:tc>
      </w:tr>
      <w:tr w:rsidR="00444A98" w:rsidRPr="00143E2D" w:rsidTr="00AC7B4A">
        <w:trPr>
          <w:trHeight w:val="70"/>
        </w:trPr>
        <w:tc>
          <w:tcPr>
            <w:tcW w:w="3848" w:type="dxa"/>
            <w:noWrap/>
          </w:tcPr>
          <w:p w:rsidR="00444A98" w:rsidRPr="00D44475" w:rsidRDefault="00444A98" w:rsidP="00AC7B4A">
            <w:pPr>
              <w:rPr>
                <w:b/>
              </w:rPr>
            </w:pPr>
            <w:r w:rsidRPr="00D44475">
              <w:rPr>
                <w:b/>
              </w:rPr>
              <w:t>Legal basis</w:t>
            </w:r>
          </w:p>
        </w:tc>
        <w:tc>
          <w:tcPr>
            <w:tcW w:w="5441" w:type="dxa"/>
            <w:noWrap/>
          </w:tcPr>
          <w:p w:rsidR="00444A98" w:rsidRPr="00143E2D" w:rsidRDefault="00B7452F" w:rsidP="00810751">
            <w:r w:rsidRPr="00143E2D">
              <w:t>Art. 307(1)</w:t>
            </w:r>
            <w:r w:rsidR="005F4FB8" w:rsidRPr="00143E2D">
              <w:t xml:space="preserve"> TFEU</w:t>
            </w:r>
          </w:p>
        </w:tc>
      </w:tr>
      <w:tr w:rsidR="00444A98" w:rsidRPr="00143E2D" w:rsidTr="006D78CA">
        <w:tc>
          <w:tcPr>
            <w:tcW w:w="3848" w:type="dxa"/>
            <w:noWrap/>
          </w:tcPr>
          <w:p w:rsidR="00444A98" w:rsidRPr="00143E2D" w:rsidRDefault="00444A98" w:rsidP="006D78CA">
            <w:pPr>
              <w:jc w:val="left"/>
              <w:rPr>
                <w:b/>
                <w:bCs/>
              </w:rPr>
            </w:pPr>
            <w:r w:rsidRPr="00143E2D">
              <w:rPr>
                <w:b/>
                <w:bCs/>
              </w:rPr>
              <w:t>Procedural basis</w:t>
            </w:r>
          </w:p>
        </w:tc>
        <w:tc>
          <w:tcPr>
            <w:tcW w:w="5441" w:type="dxa"/>
            <w:noWrap/>
          </w:tcPr>
          <w:p w:rsidR="00B7452F" w:rsidRPr="00143E2D" w:rsidRDefault="005F4FB8">
            <w:r w:rsidRPr="00143E2D">
              <w:t>Rule</w:t>
            </w:r>
            <w:r w:rsidR="00D4619D">
              <w:t>s</w:t>
            </w:r>
            <w:r w:rsidRPr="00143E2D">
              <w:t xml:space="preserve"> 41</w:t>
            </w:r>
            <w:r w:rsidR="00D4619D">
              <w:t>(</w:t>
            </w:r>
            <w:r w:rsidRPr="00143E2D">
              <w:t>b)</w:t>
            </w:r>
            <w:r w:rsidR="00D4619D">
              <w:t>(</w:t>
            </w:r>
            <w:r w:rsidRPr="00143E2D">
              <w:t xml:space="preserve">i) </w:t>
            </w:r>
            <w:r w:rsidR="00D4619D">
              <w:t xml:space="preserve">and </w:t>
            </w:r>
            <w:r w:rsidRPr="00143E2D">
              <w:t>43 of the RoP</w:t>
            </w:r>
          </w:p>
        </w:tc>
      </w:tr>
      <w:tr w:rsidR="00444A98" w:rsidRPr="00143E2D" w:rsidTr="006D78CA">
        <w:tc>
          <w:tcPr>
            <w:tcW w:w="3848" w:type="dxa"/>
          </w:tcPr>
          <w:p w:rsidR="00444A98" w:rsidRPr="00143E2D" w:rsidRDefault="00444A98" w:rsidP="006D78CA">
            <w:pPr>
              <w:jc w:val="left"/>
            </w:pPr>
            <w:r w:rsidRPr="00143E2D">
              <w:rPr>
                <w:b/>
                <w:bCs/>
              </w:rPr>
              <w:t>Date of Council/EP referral/Date of Commission letter</w:t>
            </w:r>
          </w:p>
        </w:tc>
        <w:tc>
          <w:tcPr>
            <w:tcW w:w="5441" w:type="dxa"/>
            <w:noWrap/>
          </w:tcPr>
          <w:p w:rsidR="00444A98" w:rsidRPr="00143E2D" w:rsidRDefault="005F4FB8" w:rsidP="003A043C">
            <w:r w:rsidRPr="00143E2D">
              <w:t>3 December 2020</w:t>
            </w:r>
          </w:p>
        </w:tc>
      </w:tr>
      <w:tr w:rsidR="00444A98" w:rsidRPr="00143E2D" w:rsidTr="006D78CA">
        <w:tc>
          <w:tcPr>
            <w:tcW w:w="3848" w:type="dxa"/>
          </w:tcPr>
          <w:p w:rsidR="00444A98" w:rsidRPr="00143E2D" w:rsidRDefault="00444A98" w:rsidP="006D78CA">
            <w:pPr>
              <w:jc w:val="left"/>
            </w:pPr>
            <w:r w:rsidRPr="00143E2D">
              <w:rPr>
                <w:b/>
                <w:bCs/>
              </w:rPr>
              <w:t>Date of Bureau/President's decision</w:t>
            </w:r>
          </w:p>
        </w:tc>
        <w:tc>
          <w:tcPr>
            <w:tcW w:w="5441" w:type="dxa"/>
            <w:noWrap/>
          </w:tcPr>
          <w:p w:rsidR="00444A98" w:rsidRPr="00143E2D" w:rsidRDefault="00444A98" w:rsidP="003A043C"/>
        </w:tc>
      </w:tr>
      <w:tr w:rsidR="00444A98" w:rsidRPr="00143E2D" w:rsidTr="006D78CA">
        <w:tc>
          <w:tcPr>
            <w:tcW w:w="3848" w:type="dxa"/>
            <w:noWrap/>
          </w:tcPr>
          <w:p w:rsidR="00444A98" w:rsidRPr="00143E2D" w:rsidRDefault="00444A98" w:rsidP="006D78CA">
            <w:pPr>
              <w:jc w:val="left"/>
              <w:rPr>
                <w:b/>
                <w:bCs/>
              </w:rPr>
            </w:pPr>
            <w:r w:rsidRPr="00143E2D">
              <w:rPr>
                <w:b/>
                <w:bCs/>
              </w:rPr>
              <w:t>Commission responsible</w:t>
            </w:r>
          </w:p>
        </w:tc>
        <w:tc>
          <w:tcPr>
            <w:tcW w:w="5441" w:type="dxa"/>
            <w:noWrap/>
          </w:tcPr>
          <w:p w:rsidR="00444A98" w:rsidRPr="00143E2D" w:rsidRDefault="00B7452F" w:rsidP="003A043C">
            <w:r w:rsidRPr="00143E2D">
              <w:t>Commission for Citizenship, Governance, Institutional and External Affairs</w:t>
            </w:r>
          </w:p>
        </w:tc>
      </w:tr>
      <w:tr w:rsidR="00444A98" w:rsidRPr="00143E2D" w:rsidTr="006D78CA">
        <w:tc>
          <w:tcPr>
            <w:tcW w:w="3848" w:type="dxa"/>
            <w:noWrap/>
          </w:tcPr>
          <w:p w:rsidR="00444A98" w:rsidRPr="00143E2D" w:rsidRDefault="00444A98" w:rsidP="006D78CA">
            <w:pPr>
              <w:jc w:val="left"/>
              <w:rPr>
                <w:b/>
                <w:bCs/>
              </w:rPr>
            </w:pPr>
            <w:r w:rsidRPr="00143E2D">
              <w:rPr>
                <w:b/>
                <w:bCs/>
              </w:rPr>
              <w:t>Rapporteur</w:t>
            </w:r>
          </w:p>
        </w:tc>
        <w:tc>
          <w:tcPr>
            <w:tcW w:w="5441" w:type="dxa"/>
            <w:noWrap/>
          </w:tcPr>
          <w:p w:rsidR="00444A98" w:rsidRPr="00143E2D" w:rsidRDefault="00B7452F">
            <w:r w:rsidRPr="00143E2D">
              <w:t>Jean Luc Vanraes (BE/R</w:t>
            </w:r>
            <w:r w:rsidR="00D4619D">
              <w:t xml:space="preserve">enew </w:t>
            </w:r>
            <w:r w:rsidR="005F4FB8" w:rsidRPr="00143E2D">
              <w:t>E</w:t>
            </w:r>
            <w:r w:rsidR="00D4619D">
              <w:t>urope</w:t>
            </w:r>
            <w:r w:rsidRPr="00143E2D">
              <w:t>)</w:t>
            </w:r>
            <w:r w:rsidR="005F4FB8" w:rsidRPr="00143E2D">
              <w:t xml:space="preserve">, </w:t>
            </w:r>
            <w:r w:rsidR="00D4619D">
              <w:rPr>
                <w:bCs/>
              </w:rPr>
              <w:t>m</w:t>
            </w:r>
            <w:r w:rsidR="00D4619D" w:rsidRPr="00143E2D">
              <w:rPr>
                <w:bCs/>
              </w:rPr>
              <w:t xml:space="preserve">ember </w:t>
            </w:r>
            <w:r w:rsidR="005F4FB8" w:rsidRPr="00143E2D">
              <w:rPr>
                <w:bCs/>
              </w:rPr>
              <w:t>of Uccle Municipal Council</w:t>
            </w:r>
          </w:p>
        </w:tc>
      </w:tr>
      <w:tr w:rsidR="00444A98" w:rsidRPr="00143E2D" w:rsidTr="006D78CA">
        <w:tc>
          <w:tcPr>
            <w:tcW w:w="3848" w:type="dxa"/>
            <w:noWrap/>
          </w:tcPr>
          <w:p w:rsidR="00444A98" w:rsidRPr="00143E2D" w:rsidRDefault="00444A98" w:rsidP="006D78CA">
            <w:pPr>
              <w:jc w:val="left"/>
              <w:rPr>
                <w:b/>
                <w:bCs/>
              </w:rPr>
            </w:pPr>
            <w:r w:rsidRPr="00143E2D">
              <w:rPr>
                <w:b/>
                <w:bCs/>
              </w:rPr>
              <w:t>Analysis</w:t>
            </w:r>
          </w:p>
        </w:tc>
        <w:tc>
          <w:tcPr>
            <w:tcW w:w="5441" w:type="dxa"/>
            <w:noWrap/>
          </w:tcPr>
          <w:p w:rsidR="00444A98" w:rsidRPr="00143E2D" w:rsidRDefault="00B7452F" w:rsidP="003A043C">
            <w:r w:rsidRPr="00143E2D">
              <w:t>18 December 2020</w:t>
            </w:r>
          </w:p>
        </w:tc>
      </w:tr>
      <w:tr w:rsidR="00444A98" w:rsidRPr="00143E2D" w:rsidTr="006D78CA">
        <w:tc>
          <w:tcPr>
            <w:tcW w:w="3848" w:type="dxa"/>
            <w:noWrap/>
          </w:tcPr>
          <w:p w:rsidR="00444A98" w:rsidRPr="00143E2D" w:rsidRDefault="00444A98" w:rsidP="006D78CA">
            <w:pPr>
              <w:jc w:val="left"/>
              <w:rPr>
                <w:b/>
                <w:bCs/>
              </w:rPr>
            </w:pPr>
            <w:r w:rsidRPr="00143E2D">
              <w:rPr>
                <w:b/>
                <w:bCs/>
              </w:rPr>
              <w:t xml:space="preserve">Discussed in commission </w:t>
            </w:r>
          </w:p>
        </w:tc>
        <w:tc>
          <w:tcPr>
            <w:tcW w:w="5441" w:type="dxa"/>
            <w:noWrap/>
          </w:tcPr>
          <w:p w:rsidR="00444A98" w:rsidRPr="00143E2D" w:rsidRDefault="00B7452F" w:rsidP="003A043C">
            <w:r w:rsidRPr="00143E2D">
              <w:t>16 February 2021</w:t>
            </w:r>
          </w:p>
        </w:tc>
      </w:tr>
      <w:tr w:rsidR="00444A98" w:rsidRPr="00143E2D" w:rsidTr="006D78CA">
        <w:tc>
          <w:tcPr>
            <w:tcW w:w="3848" w:type="dxa"/>
            <w:noWrap/>
          </w:tcPr>
          <w:p w:rsidR="00444A98" w:rsidRPr="00143E2D" w:rsidRDefault="00444A98" w:rsidP="006D78CA">
            <w:pPr>
              <w:jc w:val="left"/>
              <w:rPr>
                <w:b/>
                <w:bCs/>
              </w:rPr>
            </w:pPr>
            <w:r w:rsidRPr="00143E2D">
              <w:rPr>
                <w:b/>
                <w:bCs/>
              </w:rPr>
              <w:t xml:space="preserve">Date adopted by commission </w:t>
            </w:r>
          </w:p>
        </w:tc>
        <w:tc>
          <w:tcPr>
            <w:tcW w:w="5441" w:type="dxa"/>
            <w:noWrap/>
          </w:tcPr>
          <w:p w:rsidR="00444A98" w:rsidRPr="00143E2D" w:rsidRDefault="00810751" w:rsidP="00B7452F">
            <w:r w:rsidRPr="00143E2D">
              <w:t xml:space="preserve">Scheduled for </w:t>
            </w:r>
            <w:r w:rsidR="00B7452F" w:rsidRPr="00143E2D">
              <w:t>30 March 2021</w:t>
            </w:r>
          </w:p>
        </w:tc>
      </w:tr>
      <w:tr w:rsidR="00444A98" w:rsidRPr="00143E2D" w:rsidTr="006D78CA">
        <w:tc>
          <w:tcPr>
            <w:tcW w:w="3848" w:type="dxa"/>
            <w:noWrap/>
          </w:tcPr>
          <w:p w:rsidR="00444A98" w:rsidRPr="00143E2D" w:rsidRDefault="00444A98" w:rsidP="006D78CA">
            <w:pPr>
              <w:jc w:val="left"/>
              <w:rPr>
                <w:b/>
                <w:bCs/>
              </w:rPr>
            </w:pPr>
            <w:r w:rsidRPr="00143E2D">
              <w:rPr>
                <w:b/>
                <w:bCs/>
              </w:rPr>
              <w:t>Result of the vote in commission</w:t>
            </w:r>
          </w:p>
          <w:p w:rsidR="00444A98" w:rsidRPr="00143E2D" w:rsidRDefault="00444A98" w:rsidP="006D78CA">
            <w:pPr>
              <w:jc w:val="left"/>
              <w:rPr>
                <w:b/>
                <w:bCs/>
              </w:rPr>
            </w:pPr>
            <w:r w:rsidRPr="00143E2D">
              <w:rPr>
                <w:b/>
                <w:bCs/>
              </w:rPr>
              <w:t>(majority, unanimity)</w:t>
            </w:r>
          </w:p>
        </w:tc>
        <w:tc>
          <w:tcPr>
            <w:tcW w:w="5441" w:type="dxa"/>
            <w:noWrap/>
          </w:tcPr>
          <w:p w:rsidR="00444A98" w:rsidRPr="00143E2D" w:rsidRDefault="00444A98" w:rsidP="003A043C"/>
        </w:tc>
      </w:tr>
      <w:tr w:rsidR="00444A98" w:rsidRPr="00143E2D" w:rsidTr="006D78CA">
        <w:tc>
          <w:tcPr>
            <w:tcW w:w="3848" w:type="dxa"/>
            <w:noWrap/>
          </w:tcPr>
          <w:p w:rsidR="00444A98" w:rsidRPr="00143E2D" w:rsidRDefault="00444A98" w:rsidP="006D78CA">
            <w:pPr>
              <w:jc w:val="left"/>
              <w:rPr>
                <w:b/>
                <w:bCs/>
              </w:rPr>
            </w:pPr>
            <w:r w:rsidRPr="00143E2D">
              <w:rPr>
                <w:b/>
                <w:bCs/>
              </w:rPr>
              <w:t xml:space="preserve">Date adopted in plenary </w:t>
            </w:r>
          </w:p>
        </w:tc>
        <w:tc>
          <w:tcPr>
            <w:tcW w:w="5441" w:type="dxa"/>
            <w:noWrap/>
          </w:tcPr>
          <w:p w:rsidR="00444A98" w:rsidRPr="00143E2D" w:rsidRDefault="00810751" w:rsidP="00D93098">
            <w:r w:rsidRPr="00143E2D">
              <w:t xml:space="preserve">Scheduled for </w:t>
            </w:r>
            <w:r w:rsidR="00B7452F" w:rsidRPr="00143E2D">
              <w:t>30 June</w:t>
            </w:r>
            <w:r w:rsidR="00D93098" w:rsidRPr="00143E2D">
              <w:t xml:space="preserve"> – </w:t>
            </w:r>
            <w:r w:rsidR="00B7452F" w:rsidRPr="00143E2D">
              <w:t>2 July 2021</w:t>
            </w:r>
          </w:p>
        </w:tc>
      </w:tr>
      <w:tr w:rsidR="00444A98" w:rsidRPr="00143E2D" w:rsidTr="006D78CA">
        <w:tc>
          <w:tcPr>
            <w:tcW w:w="3848" w:type="dxa"/>
            <w:noWrap/>
          </w:tcPr>
          <w:p w:rsidR="00444A98" w:rsidRPr="00143E2D" w:rsidRDefault="00444A98" w:rsidP="006D78CA">
            <w:pPr>
              <w:jc w:val="left"/>
              <w:rPr>
                <w:b/>
                <w:bCs/>
              </w:rPr>
            </w:pPr>
            <w:r w:rsidRPr="00143E2D">
              <w:rPr>
                <w:b/>
                <w:bCs/>
              </w:rPr>
              <w:t xml:space="preserve">Previous Committee opinions </w:t>
            </w:r>
          </w:p>
        </w:tc>
        <w:tc>
          <w:tcPr>
            <w:tcW w:w="5441" w:type="dxa"/>
            <w:noWrap/>
          </w:tcPr>
          <w:p w:rsidR="00B7452F" w:rsidRPr="00143E2D" w:rsidRDefault="00B7452F" w:rsidP="00B7452F">
            <w:r w:rsidRPr="00143E2D">
              <w:t xml:space="preserve">Opinion on the </w:t>
            </w:r>
            <w:r w:rsidRPr="00143E2D">
              <w:rPr>
                <w:i/>
              </w:rPr>
              <w:t>Strategy for the effective implementation of the Charter of fundamental rights by the European Union</w:t>
            </w:r>
            <w:r w:rsidRPr="00143E2D">
              <w:t xml:space="preserve">, </w:t>
            </w:r>
            <w:r w:rsidR="003B573F">
              <w:t>r</w:t>
            </w:r>
            <w:r w:rsidR="003B573F" w:rsidRPr="00143E2D">
              <w:t>apporteur</w:t>
            </w:r>
            <w:r w:rsidR="003B573F">
              <w:t>:</w:t>
            </w:r>
            <w:r w:rsidRPr="00143E2D">
              <w:t xml:space="preserve"> Lotta Håkansson Harju (SE/PES), adopted in 2010;</w:t>
            </w:r>
          </w:p>
          <w:p w:rsidR="00B7452F" w:rsidRPr="00143E2D" w:rsidRDefault="00B7452F" w:rsidP="00B7452F">
            <w:r w:rsidRPr="00143E2D">
              <w:t xml:space="preserve">Opinion on </w:t>
            </w:r>
            <w:r w:rsidRPr="00143E2D">
              <w:rPr>
                <w:i/>
              </w:rPr>
              <w:t>Local and regional authorities and the multilevel protection of the rule of law and fundamental rights in the EU</w:t>
            </w:r>
            <w:r w:rsidRPr="00143E2D">
              <w:t xml:space="preserve">, </w:t>
            </w:r>
            <w:r w:rsidR="003B573F">
              <w:t>r</w:t>
            </w:r>
            <w:r w:rsidR="003B573F" w:rsidRPr="00143E2D">
              <w:t>apporteur</w:t>
            </w:r>
            <w:r w:rsidR="003B573F">
              <w:t>:</w:t>
            </w:r>
            <w:r w:rsidRPr="00143E2D">
              <w:t xml:space="preserve"> Luc Van den Brande (BE/EPP), adopted in February 2015;</w:t>
            </w:r>
          </w:p>
          <w:p w:rsidR="00B7452F" w:rsidRPr="00143E2D" w:rsidRDefault="00B7452F" w:rsidP="00B7452F">
            <w:r w:rsidRPr="00143E2D">
              <w:t>Resolution on</w:t>
            </w:r>
            <w:r w:rsidRPr="00143E2D">
              <w:rPr>
                <w:i/>
              </w:rPr>
              <w:t xml:space="preserve"> </w:t>
            </w:r>
            <w:r w:rsidR="003B573F">
              <w:rPr>
                <w:i/>
              </w:rPr>
              <w:t>T</w:t>
            </w:r>
            <w:r w:rsidR="003B573F" w:rsidRPr="00143E2D">
              <w:rPr>
                <w:i/>
              </w:rPr>
              <w:t xml:space="preserve">he </w:t>
            </w:r>
            <w:r w:rsidRPr="00143E2D">
              <w:rPr>
                <w:i/>
              </w:rPr>
              <w:t>Rule of Law in the EU from a local and regional perspective</w:t>
            </w:r>
            <w:r w:rsidR="00810751" w:rsidRPr="00143E2D">
              <w:t>, adopted</w:t>
            </w:r>
            <w:r w:rsidRPr="00143E2D">
              <w:t xml:space="preserve"> at </w:t>
            </w:r>
            <w:r w:rsidR="00810751" w:rsidRPr="00143E2D">
              <w:t xml:space="preserve">the </w:t>
            </w:r>
            <w:r w:rsidRPr="00143E2D">
              <w:t xml:space="preserve">122nd </w:t>
            </w:r>
            <w:r w:rsidR="00810751" w:rsidRPr="00143E2D">
              <w:t xml:space="preserve">CoR </w:t>
            </w:r>
            <w:r w:rsidRPr="00143E2D">
              <w:t>plenary session in March 2017;</w:t>
            </w:r>
          </w:p>
          <w:p w:rsidR="00444A98" w:rsidRPr="00143E2D" w:rsidRDefault="00810751">
            <w:r w:rsidRPr="00143E2D">
              <w:t>O</w:t>
            </w:r>
            <w:r w:rsidR="00B7452F" w:rsidRPr="00143E2D">
              <w:t xml:space="preserve">pinion on </w:t>
            </w:r>
            <w:r w:rsidR="00B7452F" w:rsidRPr="00143E2D">
              <w:rPr>
                <w:i/>
              </w:rPr>
              <w:t>Strengthening the rule of law within the Union – A blueprint for action</w:t>
            </w:r>
            <w:r w:rsidR="00B7452F" w:rsidRPr="00143E2D">
              <w:t xml:space="preserve">', </w:t>
            </w:r>
            <w:r w:rsidR="003B573F">
              <w:t>r</w:t>
            </w:r>
            <w:r w:rsidR="003B573F" w:rsidRPr="00143E2D">
              <w:t>apporteur</w:t>
            </w:r>
            <w:r w:rsidR="003B573F">
              <w:t>:</w:t>
            </w:r>
            <w:r w:rsidR="003B573F" w:rsidRPr="00143E2D">
              <w:t xml:space="preserve"> </w:t>
            </w:r>
            <w:r w:rsidR="00B7452F" w:rsidRPr="00143E2D">
              <w:t>Franco Iacop (IT/PES), adopted in February 2020</w:t>
            </w:r>
            <w:r w:rsidRPr="00143E2D">
              <w:t>.</w:t>
            </w:r>
          </w:p>
        </w:tc>
      </w:tr>
      <w:tr w:rsidR="00444A98" w:rsidRPr="00143E2D" w:rsidTr="006D78CA">
        <w:tc>
          <w:tcPr>
            <w:tcW w:w="3848" w:type="dxa"/>
            <w:noWrap/>
          </w:tcPr>
          <w:p w:rsidR="00444A98" w:rsidRPr="00143E2D" w:rsidRDefault="00444A98" w:rsidP="006D78CA">
            <w:pPr>
              <w:jc w:val="left"/>
              <w:rPr>
                <w:b/>
                <w:bCs/>
              </w:rPr>
            </w:pPr>
            <w:r w:rsidRPr="00143E2D">
              <w:rPr>
                <w:b/>
                <w:bCs/>
              </w:rPr>
              <w:t>Date of subsidiarity monitoring consultation</w:t>
            </w:r>
          </w:p>
        </w:tc>
        <w:tc>
          <w:tcPr>
            <w:tcW w:w="5441" w:type="dxa"/>
            <w:noWrap/>
          </w:tcPr>
          <w:p w:rsidR="00444A98" w:rsidRPr="00143E2D" w:rsidRDefault="00B7452F" w:rsidP="003A043C">
            <w:r w:rsidRPr="00143E2D">
              <w:t>N/A</w:t>
            </w:r>
          </w:p>
        </w:tc>
      </w:tr>
    </w:tbl>
    <w:p w:rsidR="00444A98" w:rsidRPr="00143E2D" w:rsidRDefault="00444A98" w:rsidP="003A043C"/>
    <w:p w:rsidR="00444A98" w:rsidRPr="00334D96" w:rsidRDefault="00444A98" w:rsidP="00D93098">
      <w:pPr>
        <w:jc w:val="center"/>
      </w:pPr>
      <w:r w:rsidRPr="00143E2D">
        <w:t>_____________</w:t>
      </w:r>
    </w:p>
    <w:sectPr w:rsidR="00444A98" w:rsidRPr="00334D96" w:rsidSect="002B427A">
      <w:headerReference w:type="even" r:id="rId17"/>
      <w:headerReference w:type="default" r:id="rId18"/>
      <w:footerReference w:type="even" r:id="rId19"/>
      <w:footerReference w:type="default" r:id="rId20"/>
      <w:headerReference w:type="first" r:id="rId21"/>
      <w:footerReference w:type="first" r:id="rId22"/>
      <w:pgSz w:w="11907" w:h="16839" w:code="9"/>
      <w:pgMar w:top="1417" w:right="1417" w:bottom="1417" w:left="1417" w:header="709" w:footer="709" w:gutter="0"/>
      <w:pgNumType w:chapStyle="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707" w:rsidRDefault="00B45707">
      <w:r>
        <w:separator/>
      </w:r>
    </w:p>
  </w:endnote>
  <w:endnote w:type="continuationSeparator" w:id="0">
    <w:p w:rsidR="00B45707" w:rsidRDefault="00B4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85A" w:rsidRPr="002B427A" w:rsidRDefault="003A785A" w:rsidP="002B4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8CA" w:rsidRPr="002B427A" w:rsidRDefault="002B427A" w:rsidP="002B427A">
    <w:pPr>
      <w:pStyle w:val="Footer"/>
    </w:pPr>
    <w:r>
      <w:t xml:space="preserve">COR-2021-00433-00-00-PA-TRA (EN) </w:t>
    </w:r>
    <w:r>
      <w:fldChar w:fldCharType="begin"/>
    </w:r>
    <w:r>
      <w:instrText xml:space="preserve"> PAGE  \* Arabic  \* MERGEFORMAT </w:instrText>
    </w:r>
    <w:r>
      <w:fldChar w:fldCharType="separate"/>
    </w:r>
    <w:r w:rsidR="00A964CF">
      <w:rPr>
        <w:noProof/>
      </w:rPr>
      <w:t>1</w:t>
    </w:r>
    <w:r>
      <w:fldChar w:fldCharType="end"/>
    </w:r>
    <w:r>
      <w:t>/</w:t>
    </w:r>
    <w:r>
      <w:fldChar w:fldCharType="begin"/>
    </w:r>
    <w:r>
      <w:instrText xml:space="preserve"> NUMPAGES </w:instrText>
    </w:r>
    <w:r>
      <w:fldChar w:fldCharType="separate"/>
    </w:r>
    <w:r w:rsidR="00A964CF">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3A4" w:rsidRPr="002B427A" w:rsidRDefault="001B33A4" w:rsidP="002B42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27A" w:rsidRPr="002B427A" w:rsidRDefault="002B427A" w:rsidP="002B427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27A" w:rsidRPr="002B427A" w:rsidRDefault="002B427A" w:rsidP="002B427A">
    <w:pPr>
      <w:pStyle w:val="Footer"/>
    </w:pPr>
    <w:r>
      <w:t xml:space="preserve">COR-2021-00433-00-00-PA-TRA (EN) </w:t>
    </w:r>
    <w:r>
      <w:fldChar w:fldCharType="begin"/>
    </w:r>
    <w:r>
      <w:instrText xml:space="preserve"> PAGE  \* Arabic  \* MERGEFORMAT </w:instrText>
    </w:r>
    <w:r>
      <w:fldChar w:fldCharType="separate"/>
    </w:r>
    <w:r w:rsidR="00A964CF">
      <w:rPr>
        <w:noProof/>
      </w:rPr>
      <w:t>2</w:t>
    </w:r>
    <w:r>
      <w:fldChar w:fldCharType="end"/>
    </w:r>
    <w:r>
      <w:t>/</w:t>
    </w:r>
    <w:r>
      <w:fldChar w:fldCharType="begin"/>
    </w:r>
    <w:r>
      <w:instrText xml:space="preserve"> NUMPAGES </w:instrText>
    </w:r>
    <w:r>
      <w:fldChar w:fldCharType="separate"/>
    </w:r>
    <w:r w:rsidR="00A964CF">
      <w:rPr>
        <w:noProof/>
      </w:rPr>
      <w:t>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27A" w:rsidRPr="002B427A" w:rsidRDefault="002B427A" w:rsidP="002B4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707" w:rsidRDefault="00B45707">
      <w:r>
        <w:separator/>
      </w:r>
    </w:p>
  </w:footnote>
  <w:footnote w:type="continuationSeparator" w:id="0">
    <w:p w:rsidR="00B45707" w:rsidRDefault="00B4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85A" w:rsidRPr="002B427A" w:rsidRDefault="003A785A" w:rsidP="002B42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85A" w:rsidRPr="002B427A" w:rsidRDefault="003A785A" w:rsidP="002B42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85A" w:rsidRPr="002B427A" w:rsidRDefault="003A785A" w:rsidP="002B42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27A" w:rsidRPr="002B427A" w:rsidRDefault="002B427A" w:rsidP="002B42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27A" w:rsidRPr="002B427A" w:rsidRDefault="002B427A" w:rsidP="002B427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27A" w:rsidRPr="002B427A" w:rsidRDefault="002B427A" w:rsidP="002B4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AC178D"/>
    <w:multiLevelType w:val="hybridMultilevel"/>
    <w:tmpl w:val="BE84631E"/>
    <w:lvl w:ilvl="0" w:tplc="0809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E2A1C7F"/>
    <w:multiLevelType w:val="hybridMultilevel"/>
    <w:tmpl w:val="79542618"/>
    <w:lvl w:ilvl="0" w:tplc="4524DA98">
      <w:start w:val="1"/>
      <w:numFmt w:val="decimal"/>
      <w:lvlText w:val="%1."/>
      <w:lvlJc w:val="left"/>
      <w:pPr>
        <w:ind w:left="360" w:hanging="360"/>
      </w:pPr>
      <w:rPr>
        <w:rFonts w:hint="default"/>
        <w:b w:val="0"/>
        <w:i w:val="0"/>
        <w:caps/>
        <w:strike w:val="0"/>
        <w:dstrike w:val="0"/>
        <w:vanish/>
        <w:vertAlign w:val="baseline"/>
      </w:rPr>
    </w:lvl>
    <w:lvl w:ilvl="1" w:tplc="A2C86984">
      <w:start w:val="1"/>
      <w:numFmt w:val="decimal"/>
      <w:lvlText w:val="%2."/>
      <w:lvlJc w:val="left"/>
      <w:pPr>
        <w:ind w:left="1080" w:hanging="360"/>
      </w:pPr>
      <w:rPr>
        <w:rFonts w:hint="default"/>
        <w:color w:val="0000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66BC5"/>
    <w:multiLevelType w:val="hybridMultilevel"/>
    <w:tmpl w:val="7A7A2588"/>
    <w:lvl w:ilvl="0" w:tplc="0809000F">
      <w:start w:val="1"/>
      <w:numFmt w:val="decimal"/>
      <w:lvlText w:val="%1."/>
      <w:lvlJc w:val="left"/>
      <w:pPr>
        <w:ind w:left="360" w:hanging="360"/>
      </w:pPr>
      <w:rPr>
        <w:rFonts w:hint="default"/>
        <w:b w:val="0"/>
        <w:i w:val="0"/>
        <w:caps/>
        <w:strike w:val="0"/>
        <w:dstrike w:val="0"/>
        <w:vanish/>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894FE3"/>
    <w:multiLevelType w:val="hybridMultilevel"/>
    <w:tmpl w:val="F118BD4A"/>
    <w:lvl w:ilvl="0" w:tplc="4524DA98">
      <w:start w:val="1"/>
      <w:numFmt w:val="decimal"/>
      <w:lvlText w:val="%1."/>
      <w:lvlJc w:val="left"/>
      <w:pPr>
        <w:ind w:left="360" w:hanging="360"/>
      </w:pPr>
      <w:rPr>
        <w:rFonts w:hint="default"/>
        <w:b w:val="0"/>
        <w:i w:val="0"/>
        <w:caps/>
        <w:strike w:val="0"/>
        <w:dstrike w:val="0"/>
        <w:vanish/>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BC5746"/>
    <w:multiLevelType w:val="hybridMultilevel"/>
    <w:tmpl w:val="08CCBD42"/>
    <w:lvl w:ilvl="0" w:tplc="83447096">
      <w:start w:val="1"/>
      <w:numFmt w:val="upperRoman"/>
      <w:lvlText w:val="%1."/>
      <w:lvlJc w:val="left"/>
      <w:pPr>
        <w:ind w:left="360" w:hanging="360"/>
      </w:pPr>
      <w:rPr>
        <w:b/>
        <w:i w:val="0"/>
      </w:rPr>
    </w:lvl>
    <w:lvl w:ilvl="1" w:tplc="A2C86984">
      <w:start w:val="1"/>
      <w:numFmt w:val="decimal"/>
      <w:lvlText w:val="%2."/>
      <w:lvlJc w:val="left"/>
      <w:pPr>
        <w:ind w:left="1080" w:hanging="360"/>
      </w:pPr>
      <w:rPr>
        <w:rFonts w:hint="default"/>
        <w:color w:val="0000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DA85948"/>
    <w:multiLevelType w:val="hybridMultilevel"/>
    <w:tmpl w:val="DB06F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C94B10"/>
    <w:multiLevelType w:val="hybridMultilevel"/>
    <w:tmpl w:val="E0C8F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5"/>
  </w:num>
  <w:num w:numId="4">
    <w:abstractNumId w:val="7"/>
  </w:num>
  <w:num w:numId="5">
    <w:abstractNumId w:val="9"/>
  </w:num>
  <w:num w:numId="6">
    <w:abstractNumId w:val="3"/>
  </w:num>
  <w:num w:numId="7">
    <w:abstractNumId w:val="1"/>
  </w:num>
  <w:num w:numId="8">
    <w:abstractNumId w:val="14"/>
  </w:num>
  <w:num w:numId="9">
    <w:abstractNumId w:val="10"/>
  </w:num>
  <w:num w:numId="10">
    <w:abstractNumId w:val="13"/>
  </w:num>
  <w:num w:numId="11">
    <w:abstractNumId w:val="2"/>
  </w:num>
  <w:num w:numId="12">
    <w:abstractNumId w:val="8"/>
  </w:num>
  <w:num w:numId="13">
    <w:abstractNumId w:val="16"/>
  </w:num>
  <w:num w:numId="14">
    <w:abstractNumId w:val="17"/>
  </w:num>
  <w:num w:numId="15">
    <w:abstractNumId w:val="6"/>
  </w:num>
  <w:num w:numId="16">
    <w:abstractNumId w:val="12"/>
  </w:num>
  <w:num w:numId="17">
    <w:abstractNumId w:val="11"/>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94"/>
    <w:rsid w:val="000164F5"/>
    <w:rsid w:val="00020D7F"/>
    <w:rsid w:val="00032594"/>
    <w:rsid w:val="0005388F"/>
    <w:rsid w:val="000615B3"/>
    <w:rsid w:val="00067BA8"/>
    <w:rsid w:val="00083AE8"/>
    <w:rsid w:val="000B74D3"/>
    <w:rsid w:val="000C3BC1"/>
    <w:rsid w:val="000D6A84"/>
    <w:rsid w:val="00101FBB"/>
    <w:rsid w:val="00112E32"/>
    <w:rsid w:val="0012190B"/>
    <w:rsid w:val="00143E2D"/>
    <w:rsid w:val="0015645B"/>
    <w:rsid w:val="001B33A4"/>
    <w:rsid w:val="001C66A9"/>
    <w:rsid w:val="001E5620"/>
    <w:rsid w:val="001F1AB8"/>
    <w:rsid w:val="002033F5"/>
    <w:rsid w:val="002054D0"/>
    <w:rsid w:val="002302F1"/>
    <w:rsid w:val="00254B94"/>
    <w:rsid w:val="0026767E"/>
    <w:rsid w:val="00293319"/>
    <w:rsid w:val="002A3B7F"/>
    <w:rsid w:val="002A67BF"/>
    <w:rsid w:val="002B1E5E"/>
    <w:rsid w:val="002B427A"/>
    <w:rsid w:val="002D618D"/>
    <w:rsid w:val="002F03D6"/>
    <w:rsid w:val="002F59B2"/>
    <w:rsid w:val="00322488"/>
    <w:rsid w:val="00334D96"/>
    <w:rsid w:val="003563A4"/>
    <w:rsid w:val="00367564"/>
    <w:rsid w:val="00373ED4"/>
    <w:rsid w:val="00383975"/>
    <w:rsid w:val="003A043C"/>
    <w:rsid w:val="003A7409"/>
    <w:rsid w:val="003A785A"/>
    <w:rsid w:val="003B0723"/>
    <w:rsid w:val="003B1C77"/>
    <w:rsid w:val="003B573F"/>
    <w:rsid w:val="003C0F98"/>
    <w:rsid w:val="003E420C"/>
    <w:rsid w:val="003E7C11"/>
    <w:rsid w:val="00406724"/>
    <w:rsid w:val="004336B4"/>
    <w:rsid w:val="00444A98"/>
    <w:rsid w:val="00454AD9"/>
    <w:rsid w:val="00475484"/>
    <w:rsid w:val="004A0C7C"/>
    <w:rsid w:val="004A41CF"/>
    <w:rsid w:val="004C1373"/>
    <w:rsid w:val="004E605D"/>
    <w:rsid w:val="005333D6"/>
    <w:rsid w:val="00575FC1"/>
    <w:rsid w:val="00583866"/>
    <w:rsid w:val="005918A5"/>
    <w:rsid w:val="005A41BB"/>
    <w:rsid w:val="005A7F8D"/>
    <w:rsid w:val="005B2905"/>
    <w:rsid w:val="005C36CD"/>
    <w:rsid w:val="005C4B78"/>
    <w:rsid w:val="005C4F1C"/>
    <w:rsid w:val="005D31A6"/>
    <w:rsid w:val="005E58C7"/>
    <w:rsid w:val="005F4FB8"/>
    <w:rsid w:val="006178E4"/>
    <w:rsid w:val="006311E4"/>
    <w:rsid w:val="006A4A0A"/>
    <w:rsid w:val="006D0087"/>
    <w:rsid w:val="006D78CA"/>
    <w:rsid w:val="00720994"/>
    <w:rsid w:val="0075508D"/>
    <w:rsid w:val="00784A27"/>
    <w:rsid w:val="00785967"/>
    <w:rsid w:val="007A6D76"/>
    <w:rsid w:val="007B10B2"/>
    <w:rsid w:val="007B2E4D"/>
    <w:rsid w:val="007F0079"/>
    <w:rsid w:val="007F68C4"/>
    <w:rsid w:val="00810512"/>
    <w:rsid w:val="00810751"/>
    <w:rsid w:val="00814EF3"/>
    <w:rsid w:val="008224B6"/>
    <w:rsid w:val="00837FA5"/>
    <w:rsid w:val="00840E59"/>
    <w:rsid w:val="00847E17"/>
    <w:rsid w:val="00866F5C"/>
    <w:rsid w:val="008B0516"/>
    <w:rsid w:val="008D3638"/>
    <w:rsid w:val="008D5CBC"/>
    <w:rsid w:val="00913B7D"/>
    <w:rsid w:val="009352AE"/>
    <w:rsid w:val="009616A0"/>
    <w:rsid w:val="009A16C1"/>
    <w:rsid w:val="009A6E15"/>
    <w:rsid w:val="009B1D9E"/>
    <w:rsid w:val="009E6FD3"/>
    <w:rsid w:val="009F0B69"/>
    <w:rsid w:val="009F7D37"/>
    <w:rsid w:val="00A012E5"/>
    <w:rsid w:val="00A401A7"/>
    <w:rsid w:val="00A402C8"/>
    <w:rsid w:val="00A84676"/>
    <w:rsid w:val="00A911A9"/>
    <w:rsid w:val="00A91F95"/>
    <w:rsid w:val="00A964CF"/>
    <w:rsid w:val="00AA77B1"/>
    <w:rsid w:val="00AB0937"/>
    <w:rsid w:val="00AC7B4A"/>
    <w:rsid w:val="00AE4401"/>
    <w:rsid w:val="00B164E4"/>
    <w:rsid w:val="00B33430"/>
    <w:rsid w:val="00B37925"/>
    <w:rsid w:val="00B45707"/>
    <w:rsid w:val="00B65DB1"/>
    <w:rsid w:val="00B7452F"/>
    <w:rsid w:val="00B80B71"/>
    <w:rsid w:val="00BB4B32"/>
    <w:rsid w:val="00BE061F"/>
    <w:rsid w:val="00BE3E20"/>
    <w:rsid w:val="00BF7AE7"/>
    <w:rsid w:val="00C3552F"/>
    <w:rsid w:val="00C6301A"/>
    <w:rsid w:val="00C639CA"/>
    <w:rsid w:val="00C82639"/>
    <w:rsid w:val="00CA6B49"/>
    <w:rsid w:val="00CB7BAE"/>
    <w:rsid w:val="00CE5929"/>
    <w:rsid w:val="00D20AD5"/>
    <w:rsid w:val="00D44475"/>
    <w:rsid w:val="00D4619D"/>
    <w:rsid w:val="00D46F0D"/>
    <w:rsid w:val="00D93098"/>
    <w:rsid w:val="00DA0453"/>
    <w:rsid w:val="00DA085F"/>
    <w:rsid w:val="00DA3DEA"/>
    <w:rsid w:val="00DC55CB"/>
    <w:rsid w:val="00DD66B3"/>
    <w:rsid w:val="00DE5160"/>
    <w:rsid w:val="00DE664B"/>
    <w:rsid w:val="00DF5986"/>
    <w:rsid w:val="00DF7D46"/>
    <w:rsid w:val="00E30D3A"/>
    <w:rsid w:val="00E52232"/>
    <w:rsid w:val="00E5664A"/>
    <w:rsid w:val="00E67837"/>
    <w:rsid w:val="00E83AE3"/>
    <w:rsid w:val="00E83E7B"/>
    <w:rsid w:val="00EB3B52"/>
    <w:rsid w:val="00EE5F3C"/>
    <w:rsid w:val="00F40F26"/>
    <w:rsid w:val="00F42EDA"/>
    <w:rsid w:val="00F45402"/>
    <w:rsid w:val="00F55286"/>
    <w:rsid w:val="00F84BCE"/>
    <w:rsid w:val="00F85741"/>
    <w:rsid w:val="00F90F5A"/>
    <w:rsid w:val="00FA1EEE"/>
    <w:rsid w:val="00FE7B56"/>
    <w:rsid w:val="00FF53DC"/>
    <w:rsid w:val="00FF69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953C92AE-BCD7-46E4-82A9-A9A66F91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E17"/>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uiPriority w:val="9"/>
    <w:qFormat/>
    <w:rsid w:val="00847E17"/>
    <w:pPr>
      <w:numPr>
        <w:numId w:val="1"/>
      </w:numPr>
      <w:ind w:left="720" w:hanging="720"/>
      <w:outlineLvl w:val="0"/>
    </w:pPr>
    <w:rPr>
      <w:kern w:val="28"/>
    </w:rPr>
  </w:style>
  <w:style w:type="paragraph" w:styleId="Heading2">
    <w:name w:val="heading 2"/>
    <w:basedOn w:val="Normal"/>
    <w:next w:val="Normal"/>
    <w:link w:val="Heading2Char"/>
    <w:uiPriority w:val="9"/>
    <w:qFormat/>
    <w:rsid w:val="00847E17"/>
    <w:pPr>
      <w:numPr>
        <w:ilvl w:val="1"/>
        <w:numId w:val="1"/>
      </w:numPr>
      <w:ind w:left="720" w:hanging="720"/>
      <w:outlineLvl w:val="1"/>
    </w:pPr>
  </w:style>
  <w:style w:type="paragraph" w:styleId="Heading3">
    <w:name w:val="heading 3"/>
    <w:basedOn w:val="Normal"/>
    <w:next w:val="Normal"/>
    <w:link w:val="Heading3Char"/>
    <w:uiPriority w:val="9"/>
    <w:qFormat/>
    <w:rsid w:val="00847E17"/>
    <w:pPr>
      <w:numPr>
        <w:ilvl w:val="2"/>
        <w:numId w:val="1"/>
      </w:numPr>
      <w:ind w:left="720" w:hanging="720"/>
      <w:outlineLvl w:val="2"/>
    </w:pPr>
  </w:style>
  <w:style w:type="paragraph" w:styleId="Heading4">
    <w:name w:val="heading 4"/>
    <w:basedOn w:val="Normal"/>
    <w:next w:val="Normal"/>
    <w:link w:val="Heading4Char"/>
    <w:uiPriority w:val="9"/>
    <w:qFormat/>
    <w:rsid w:val="00847E17"/>
    <w:pPr>
      <w:numPr>
        <w:ilvl w:val="3"/>
        <w:numId w:val="1"/>
      </w:numPr>
      <w:ind w:left="720" w:hanging="720"/>
      <w:outlineLvl w:val="3"/>
    </w:pPr>
  </w:style>
  <w:style w:type="paragraph" w:styleId="Heading5">
    <w:name w:val="heading 5"/>
    <w:basedOn w:val="Normal"/>
    <w:next w:val="Normal"/>
    <w:link w:val="Heading5Char"/>
    <w:uiPriority w:val="9"/>
    <w:qFormat/>
    <w:rsid w:val="00847E17"/>
    <w:pPr>
      <w:numPr>
        <w:ilvl w:val="4"/>
        <w:numId w:val="1"/>
      </w:numPr>
      <w:ind w:left="720" w:hanging="720"/>
      <w:outlineLvl w:val="4"/>
    </w:pPr>
  </w:style>
  <w:style w:type="paragraph" w:styleId="Heading6">
    <w:name w:val="heading 6"/>
    <w:basedOn w:val="Normal"/>
    <w:next w:val="Normal"/>
    <w:link w:val="Heading6Char"/>
    <w:uiPriority w:val="9"/>
    <w:qFormat/>
    <w:rsid w:val="00847E17"/>
    <w:pPr>
      <w:numPr>
        <w:ilvl w:val="5"/>
        <w:numId w:val="1"/>
      </w:numPr>
      <w:ind w:left="720" w:hanging="720"/>
      <w:outlineLvl w:val="5"/>
    </w:pPr>
  </w:style>
  <w:style w:type="paragraph" w:styleId="Heading7">
    <w:name w:val="heading 7"/>
    <w:basedOn w:val="Normal"/>
    <w:next w:val="Normal"/>
    <w:link w:val="Heading7Char"/>
    <w:uiPriority w:val="9"/>
    <w:qFormat/>
    <w:rsid w:val="00847E17"/>
    <w:pPr>
      <w:numPr>
        <w:ilvl w:val="6"/>
        <w:numId w:val="1"/>
      </w:numPr>
      <w:ind w:left="720" w:hanging="720"/>
      <w:outlineLvl w:val="6"/>
    </w:pPr>
  </w:style>
  <w:style w:type="paragraph" w:styleId="Heading8">
    <w:name w:val="heading 8"/>
    <w:basedOn w:val="Normal"/>
    <w:next w:val="Normal"/>
    <w:link w:val="Heading8Char"/>
    <w:uiPriority w:val="9"/>
    <w:qFormat/>
    <w:rsid w:val="00847E17"/>
    <w:pPr>
      <w:numPr>
        <w:ilvl w:val="7"/>
        <w:numId w:val="1"/>
      </w:numPr>
      <w:ind w:left="720" w:hanging="720"/>
      <w:outlineLvl w:val="7"/>
    </w:pPr>
  </w:style>
  <w:style w:type="paragraph" w:styleId="Heading9">
    <w:name w:val="heading 9"/>
    <w:basedOn w:val="Normal"/>
    <w:next w:val="Normal"/>
    <w:link w:val="Heading9Char"/>
    <w:uiPriority w:val="9"/>
    <w:qFormat/>
    <w:rsid w:val="00847E1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6A8"/>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9D66A8"/>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9D66A8"/>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9D66A8"/>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9D66A8"/>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9D66A8"/>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9D66A8"/>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9D66A8"/>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9D66A8"/>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847E17"/>
  </w:style>
  <w:style w:type="character" w:customStyle="1" w:styleId="FooterChar">
    <w:name w:val="Footer Char"/>
    <w:basedOn w:val="DefaultParagraphFont"/>
    <w:link w:val="Footer"/>
    <w:uiPriority w:val="99"/>
    <w:rsid w:val="009D66A8"/>
    <w:rPr>
      <w:sz w:val="22"/>
      <w:lang w:val="en-GB" w:eastAsia="en-US"/>
    </w:rPr>
  </w:style>
  <w:style w:type="paragraph" w:styleId="FootnoteText">
    <w:name w:val="footnote text"/>
    <w:basedOn w:val="Normal"/>
    <w:link w:val="FootnoteTextChar"/>
    <w:uiPriority w:val="99"/>
    <w:rsid w:val="00847E1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9D66A8"/>
    <w:rPr>
      <w:lang w:val="en-GB" w:eastAsia="en-US"/>
    </w:rPr>
  </w:style>
  <w:style w:type="paragraph" w:styleId="Header">
    <w:name w:val="header"/>
    <w:basedOn w:val="Normal"/>
    <w:link w:val="HeaderChar"/>
    <w:uiPriority w:val="99"/>
    <w:rsid w:val="00847E17"/>
  </w:style>
  <w:style w:type="character" w:customStyle="1" w:styleId="HeaderChar">
    <w:name w:val="Header Char"/>
    <w:basedOn w:val="DefaultParagraphFont"/>
    <w:link w:val="Header"/>
    <w:uiPriority w:val="99"/>
    <w:rsid w:val="009D66A8"/>
    <w:rPr>
      <w:sz w:val="22"/>
      <w:lang w:val="en-GB" w:eastAsia="en-US"/>
    </w:rPr>
  </w:style>
  <w:style w:type="paragraph" w:customStyle="1" w:styleId="quotes">
    <w:name w:val="quotes"/>
    <w:basedOn w:val="Normal"/>
    <w:next w:val="Normal"/>
    <w:rsid w:val="00847E17"/>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iPriority w:val="99"/>
    <w:semiHidden/>
    <w:rsid w:val="00847E17"/>
    <w:rPr>
      <w:sz w:val="24"/>
      <w:vertAlign w:val="superscript"/>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D46F0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46F0D"/>
    <w:rPr>
      <w:rFonts w:ascii="Tahoma" w:hAnsi="Tahoma" w:cs="Tahoma"/>
      <w:sz w:val="16"/>
      <w:szCs w:val="16"/>
      <w:lang w:val="en-GB" w:eastAsia="en-US"/>
    </w:rPr>
  </w:style>
  <w:style w:type="paragraph" w:customStyle="1" w:styleId="LOGO">
    <w:name w:val="LOGO"/>
    <w:basedOn w:val="Normal"/>
    <w:pPr>
      <w:jc w:val="center"/>
    </w:pPr>
    <w:rPr>
      <w:rFonts w:ascii="Arial" w:hAnsi="Arial"/>
      <w:b/>
      <w:i/>
      <w:sz w:val="20"/>
    </w:rPr>
  </w:style>
  <w:style w:type="paragraph" w:customStyle="1" w:styleId="Default">
    <w:name w:val="Default"/>
    <w:rsid w:val="00D20AD5"/>
    <w:pPr>
      <w:autoSpaceDE w:val="0"/>
      <w:autoSpaceDN w:val="0"/>
      <w:adjustRightInd w:val="0"/>
    </w:pPr>
    <w:rPr>
      <w:color w:val="000000"/>
      <w:sz w:val="24"/>
      <w:szCs w:val="24"/>
      <w:lang w:val="en-GB" w:eastAsia="en-GB"/>
    </w:rPr>
  </w:style>
  <w:style w:type="paragraph" w:styleId="NormalWeb">
    <w:name w:val="Normal (Web)"/>
    <w:basedOn w:val="Normal"/>
    <w:uiPriority w:val="99"/>
    <w:unhideWhenUsed/>
    <w:rsid w:val="00D20AD5"/>
    <w:pPr>
      <w:overflowPunct/>
      <w:autoSpaceDE/>
      <w:autoSpaceDN/>
      <w:adjustRightInd/>
      <w:spacing w:before="100" w:beforeAutospacing="1" w:after="100" w:afterAutospacing="1" w:line="240" w:lineRule="auto"/>
      <w:jc w:val="left"/>
      <w:textAlignment w:val="auto"/>
    </w:pPr>
    <w:rPr>
      <w:sz w:val="24"/>
      <w:szCs w:val="24"/>
      <w:lang w:eastAsia="en-GB"/>
    </w:rPr>
  </w:style>
  <w:style w:type="paragraph" w:styleId="ListParagraph">
    <w:name w:val="List Paragraph"/>
    <w:aliases w:val="Lista vi–etas,Lista viÐetas,Lista viñetas,Viñetas (Inicio Parrafo),3 Txt tabla,Zerrenda-paragrafoa,Task Body,Paragrafo elenco,Bullet List,Liste à puces retrait droite,1st level - Bullet List Paragraph,Lettre d'introduction,List Paragraph1"/>
    <w:basedOn w:val="Normal"/>
    <w:link w:val="ListParagraphChar"/>
    <w:uiPriority w:val="34"/>
    <w:qFormat/>
    <w:rsid w:val="000164F5"/>
    <w:pPr>
      <w:ind w:left="720"/>
      <w:contextualSpacing/>
    </w:pPr>
  </w:style>
  <w:style w:type="character" w:customStyle="1" w:styleId="ListParagraphChar">
    <w:name w:val="List Paragraph Char"/>
    <w:aliases w:val="Lista vi–etas Char,Lista viÐetas Char,Lista viñetas Char,Viñetas (Inicio Parrafo) Char,3 Txt tabla Char,Zerrenda-paragrafoa Char,Task Body Char,Paragrafo elenco Char,Bullet List Char,Liste à puces retrait droite Char"/>
    <w:link w:val="ListParagraph"/>
    <w:uiPriority w:val="34"/>
    <w:rsid w:val="005F4FB8"/>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525309">
      <w:bodyDiv w:val="1"/>
      <w:marLeft w:val="0"/>
      <w:marRight w:val="0"/>
      <w:marTop w:val="0"/>
      <w:marBottom w:val="0"/>
      <w:divBdr>
        <w:top w:val="none" w:sz="0" w:space="0" w:color="auto"/>
        <w:left w:val="none" w:sz="0" w:space="0" w:color="auto"/>
        <w:bottom w:val="none" w:sz="0" w:space="0" w:color="auto"/>
        <w:right w:val="none" w:sz="0" w:space="0" w:color="auto"/>
      </w:divBdr>
    </w:div>
    <w:div w:id="1263301451">
      <w:bodyDiv w:val="1"/>
      <w:marLeft w:val="0"/>
      <w:marRight w:val="0"/>
      <w:marTop w:val="0"/>
      <w:marBottom w:val="0"/>
      <w:divBdr>
        <w:top w:val="none" w:sz="0" w:space="0" w:color="auto"/>
        <w:left w:val="none" w:sz="0" w:space="0" w:color="auto"/>
        <w:bottom w:val="none" w:sz="0" w:space="0" w:color="auto"/>
        <w:right w:val="none" w:sz="0" w:space="0" w:color="auto"/>
      </w:divBdr>
    </w:div>
    <w:div w:id="1929535223">
      <w:bodyDiv w:val="1"/>
      <w:marLeft w:val="0"/>
      <w:marRight w:val="0"/>
      <w:marTop w:val="0"/>
      <w:marBottom w:val="0"/>
      <w:divBdr>
        <w:top w:val="none" w:sz="0" w:space="0" w:color="auto"/>
        <w:left w:val="none" w:sz="0" w:space="0" w:color="auto"/>
        <w:bottom w:val="none" w:sz="0" w:space="0" w:color="auto"/>
        <w:right w:val="none" w:sz="0" w:space="0" w:color="auto"/>
      </w:divBdr>
    </w:div>
    <w:div w:id="21434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yperlink" Target="https://memportal.cor.europa.eu/"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memportal.cor.europa.eu/"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4472F2E117D4B967754D4AF8B1741" ma:contentTypeVersion="4" ma:contentTypeDescription="Create a new document." ma:contentTypeScope="" ma:versionID="3a0c17379e7f4824783a44753cb350fa">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1b80ba028f11d744128e17c14b29bebe"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58DFDE-093E-4469-9D4E-02503F178C6B}"/>
</file>

<file path=customXml/itemProps2.xml><?xml version="1.0" encoding="utf-8"?>
<ds:datastoreItem xmlns:ds="http://schemas.openxmlformats.org/officeDocument/2006/customXml" ds:itemID="{FFDFD243-74BA-4D00-81FB-6A132D915892}"/>
</file>

<file path=customXml/itemProps3.xml><?xml version="1.0" encoding="utf-8"?>
<ds:datastoreItem xmlns:ds="http://schemas.openxmlformats.org/officeDocument/2006/customXml" ds:itemID="{838927C1-C9F8-457D-9EDE-7C30B6F675E4}"/>
</file>

<file path=customXml/itemProps4.xml><?xml version="1.0" encoding="utf-8"?>
<ds:datastoreItem xmlns:ds="http://schemas.openxmlformats.org/officeDocument/2006/customXml" ds:itemID="{A8AABF8B-9FF6-43D1-81FA-78EB72273101}"/>
</file>

<file path=docProps/app.xml><?xml version="1.0" encoding="utf-8"?>
<Properties xmlns="http://schemas.openxmlformats.org/officeDocument/2006/extended-properties" xmlns:vt="http://schemas.openxmlformats.org/officeDocument/2006/docPropsVTypes">
  <Template>Normal</Template>
  <TotalTime>1</TotalTime>
  <Pages>5</Pages>
  <Words>950</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Communication on the new strategy to strengthen the application of the EU Charter of Fundamental Rights</vt:lpstr>
    </vt:vector>
  </TitlesOfParts>
  <Company>CESE-CdR</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on the new strategy to strengthen the application of the EU Charter of Fundamental Rights</dc:title>
  <dc:subject>Draft opinion</dc:subject>
  <dc:creator>Emma Nieddu</dc:creator>
  <cp:keywords>COR-2021-00433-00-00-PA-TRA-EN</cp:keywords>
  <dc:description>Rapporteur: - VANRAES Original language: - EN Date of document: - 05/03/2021 Date of meeting: - 30/03/2021 External documents: - COM(2020)711-final Administrator responsible: -  LIVIDEANU Simona-Elena</dc:description>
  <cp:lastModifiedBy>Jouglain Marie-Pierre</cp:lastModifiedBy>
  <cp:revision>2</cp:revision>
  <cp:lastPrinted>2007-01-10T10:43:00Z</cp:lastPrinted>
  <dcterms:created xsi:type="dcterms:W3CDTF">2021-03-26T16:43:00Z</dcterms:created>
  <dcterms:modified xsi:type="dcterms:W3CDTF">2021-03-26T16:43:00Z</dcterms:modified>
  <cp:category>CIVEX-VII/6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05/03/2021</vt:lpwstr>
  </property>
  <property fmtid="{D5CDD505-2E9C-101B-9397-08002B2CF9AE}" pid="4" name="Pref_Time">
    <vt:lpwstr>11:00:04</vt:lpwstr>
  </property>
  <property fmtid="{D5CDD505-2E9C-101B-9397-08002B2CF9AE}" pid="5" name="Pref_User">
    <vt:lpwstr>enied</vt:lpwstr>
  </property>
  <property fmtid="{D5CDD505-2E9C-101B-9397-08002B2CF9AE}" pid="6" name="Pref_FileName">
    <vt:lpwstr>COR-2021-00433-00-00-PA-TRA-EN-CRR.docx</vt:lpwstr>
  </property>
  <property fmtid="{D5CDD505-2E9C-101B-9397-08002B2CF9AE}" pid="7" name="ContentTypeId">
    <vt:lpwstr>0x01010071F4472F2E117D4B967754D4AF8B1741</vt:lpwstr>
  </property>
  <property fmtid="{D5CDD505-2E9C-101B-9397-08002B2CF9AE}" pid="8" name="_dlc_DocIdItemGuid">
    <vt:lpwstr>f5014bc2-d931-4a9c-bce4-03fd22185920</vt:lpwstr>
  </property>
  <property fmtid="{D5CDD505-2E9C-101B-9397-08002B2CF9AE}" pid="9" name="AvailableTranslations">
    <vt:lpwstr>25;#BG|1a1b3951-7821-4e6a-85f5-5673fc08bd2c;#8;#EN|f2175f21-25d7-44a3-96da-d6a61b075e1b;#19;#SK|46d9fce0-ef79-4f71-b89b-cd6aa82426b8;#33;#RO|feb747a2-64cd-4299-af12-4833ddc30497;#14;#DE|f6b31e5a-26fa-4935-b661-318e46daf27e;#20;#MT|7df99101-6854-4a26-b53a-</vt:lpwstr>
  </property>
  <property fmtid="{D5CDD505-2E9C-101B-9397-08002B2CF9AE}" pid="10" name="DocumentType_0">
    <vt:lpwstr>PA|ef6fd07e-7d84-45ad-8a75-9a9414a8759c</vt:lpwstr>
  </property>
  <property fmtid="{D5CDD505-2E9C-101B-9397-08002B2CF9AE}" pid="11" name="DossierName_0">
    <vt:lpwstr>CIVEX-VII|0f19ad9a-5413-4cad-8f15-98940fe4d70a</vt:lpwstr>
  </property>
  <property fmtid="{D5CDD505-2E9C-101B-9397-08002B2CF9AE}" pid="12" name="DocumentSource_0">
    <vt:lpwstr>CoR|cb2d75ef-4a7d-4393-b797-49ed6298a5ea</vt:lpwstr>
  </property>
  <property fmtid="{D5CDD505-2E9C-101B-9397-08002B2CF9AE}" pid="13" name="DocumentNumber">
    <vt:i4>433</vt:i4>
  </property>
  <property fmtid="{D5CDD505-2E9C-101B-9397-08002B2CF9AE}" pid="14" name="FicheYear">
    <vt:i4>2021</vt:i4>
  </property>
  <property fmtid="{D5CDD505-2E9C-101B-9397-08002B2CF9AE}" pid="15" name="DocumentVersion">
    <vt:i4>0</vt:i4>
  </property>
  <property fmtid="{D5CDD505-2E9C-101B-9397-08002B2CF9AE}" pid="16" name="DossierNumber">
    <vt:i4>6</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40;#CIVEX-VII|0f19ad9a-5413-4cad-8f15-98940fe4d70a</vt:lpwstr>
  </property>
  <property fmtid="{D5CDD505-2E9C-101B-9397-08002B2CF9AE}" pid="20" name="DocumentSource">
    <vt:lpwstr>1;#CoR|cb2d75ef-4a7d-4393-b797-49ed6298a5ea</vt:lpwstr>
  </property>
  <property fmtid="{D5CDD505-2E9C-101B-9397-08002B2CF9AE}" pid="21" name="DocumentType">
    <vt:lpwstr>63;#PA|ef6fd07e-7d84-45ad-8a75-9a9414a8759c</vt:lpwstr>
  </property>
  <property fmtid="{D5CDD505-2E9C-101B-9397-08002B2CF9AE}" pid="22" name="RequestingService">
    <vt:lpwstr>Affaires constitutionnelles</vt:lpwstr>
  </property>
  <property fmtid="{D5CDD505-2E9C-101B-9397-08002B2CF9AE}" pid="23" name="Confidentiality">
    <vt:lpwstr>9;#Unrestricted|826e22d7-d029-4ec0-a450-0c28ff673572</vt:lpwstr>
  </property>
  <property fmtid="{D5CDD505-2E9C-101B-9397-08002B2CF9AE}" pid="24" name="MeetingName_0">
    <vt:lpwstr>CIVEX-VII|4664988a-67ae-415f-a101-84a7493c3d1d</vt:lpwstr>
  </property>
  <property fmtid="{D5CDD505-2E9C-101B-9397-08002B2CF9AE}" pid="25" name="Confidentiality_0">
    <vt:lpwstr>Unrestricted|826e22d7-d029-4ec0-a450-0c28ff673572</vt:lpwstr>
  </property>
  <property fmtid="{D5CDD505-2E9C-101B-9397-08002B2CF9AE}" pid="26" name="OriginalLanguage">
    <vt:lpwstr>8;#EN|f2175f21-25d7-44a3-96da-d6a61b075e1b</vt:lpwstr>
  </property>
  <property fmtid="{D5CDD505-2E9C-101B-9397-08002B2CF9AE}" pid="27" name="MeetingName">
    <vt:lpwstr>38;#CIVEX-VII|4664988a-67ae-415f-a101-84a7493c3d1d</vt:lpwstr>
  </property>
  <property fmtid="{D5CDD505-2E9C-101B-9397-08002B2CF9AE}" pid="28" name="MeetingDate">
    <vt:filetime>2021-03-30T12:00:00Z</vt:filetime>
  </property>
  <property fmtid="{D5CDD505-2E9C-101B-9397-08002B2CF9AE}" pid="29" name="AvailableTranslations_0">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7;#English|bdbee8c7-072c-4a33-ae34-5b1e06637655</vt:lpwstr>
  </property>
  <property fmtid="{D5CDD505-2E9C-101B-9397-08002B2CF9AE}" pid="33" name="Rapporteur">
    <vt:lpwstr>VANRAES</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2021</vt:i4>
  </property>
  <property fmtid="{D5CDD505-2E9C-101B-9397-08002B2CF9AE}" pid="37" name="FicheNumber">
    <vt:i4>2986</vt:i4>
  </property>
  <property fmtid="{D5CDD505-2E9C-101B-9397-08002B2CF9AE}" pid="38" name="DocumentLanguage">
    <vt:lpwstr>8;#EN|f2175f21-25d7-44a3-96da-d6a61b075e1b</vt:lpwstr>
  </property>
  <property fmtid="{D5CDD505-2E9C-101B-9397-08002B2CF9AE}" pid="39" name="_docset_NoMedatataSyncRequired">
    <vt:lpwstr>False</vt:lpwstr>
  </property>
  <property fmtid="{D5CDD505-2E9C-101B-9397-08002B2CF9AE}" pid="40" name="p2fcf63a50b541b9841bb70f49df3317">
    <vt:lpwstr>English|bdbee8c7-072c-4a33-ae34-5b1e06637655</vt:lpwstr>
  </property>
  <property fmtid="{D5CDD505-2E9C-101B-9397-08002B2CF9AE}" pid="41" name="CoR_Language">
    <vt:lpwstr>7;#English|bdbee8c7-072c-4a33-ae34-5b1e06637655</vt:lpwstr>
  </property>
</Properties>
</file>