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644"/>
        <w:gridCol w:w="4645"/>
      </w:tblGrid>
      <w:tr w:rsidR="000D6A84" w:rsidRPr="007336DD" w:rsidTr="006D78CA">
        <w:trPr>
          <w:cantSplit/>
        </w:trPr>
        <w:tc>
          <w:tcPr>
            <w:tcW w:w="4644" w:type="dxa"/>
          </w:tcPr>
          <w:p w:rsidR="000D6A84" w:rsidRPr="007336DD" w:rsidRDefault="000D6A84" w:rsidP="00F1564E">
            <w:bookmarkStart w:id="0" w:name="_GoBack"/>
            <w:bookmarkEnd w:id="0"/>
            <w:r w:rsidRPr="007336DD">
              <w:rPr>
                <w:noProof/>
                <w:lang w:val="en-US"/>
              </w:rPr>
              <w:drawing>
                <wp:inline distT="0" distB="0" distL="0" distR="0" wp14:anchorId="07EC123F" wp14:editId="0684BE2D">
                  <wp:extent cx="1800000" cy="1559336"/>
                  <wp:effectExtent l="0" t="0" r="0" b="3175"/>
                  <wp:docPr id="37" name="Picture 37"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New LOGO\Logo\logo_CoR-vertical-positive-en-quadri_M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0" cy="1559336"/>
                          </a:xfrm>
                          <a:prstGeom prst="rect">
                            <a:avLst/>
                          </a:prstGeom>
                          <a:noFill/>
                          <a:ln>
                            <a:noFill/>
                          </a:ln>
                        </pic:spPr>
                      </pic:pic>
                    </a:graphicData>
                  </a:graphic>
                </wp:inline>
              </w:drawing>
            </w:r>
            <w:r w:rsidR="001B33A4" w:rsidRPr="007336DD">
              <w:rPr>
                <w:b/>
                <w:bCs/>
                <w:noProof/>
                <w:sz w:val="32"/>
                <w:lang w:val="en-US"/>
              </w:rPr>
              <w:drawing>
                <wp:anchor distT="0" distB="0" distL="114300" distR="114300" simplePos="0" relativeHeight="251661312" behindDoc="0" locked="0" layoutInCell="0" allowOverlap="0" wp14:anchorId="2D807C2C" wp14:editId="352863D3">
                  <wp:simplePos x="0" y="0"/>
                  <wp:positionH relativeFrom="page">
                    <wp:posOffset>900430</wp:posOffset>
                  </wp:positionH>
                  <wp:positionV relativeFrom="page">
                    <wp:posOffset>10185400</wp:posOffset>
                  </wp:positionV>
                  <wp:extent cx="5760000" cy="266400"/>
                  <wp:effectExtent l="0" t="0" r="0" b="635"/>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5" w:type="dxa"/>
          </w:tcPr>
          <w:p w:rsidR="000D6A84" w:rsidRPr="007336DD" w:rsidRDefault="000D6A84" w:rsidP="00F1564E"/>
        </w:tc>
      </w:tr>
      <w:tr w:rsidR="00444A98" w:rsidRPr="007336DD" w:rsidTr="006D78CA">
        <w:trPr>
          <w:cantSplit/>
        </w:trPr>
        <w:tc>
          <w:tcPr>
            <w:tcW w:w="9289" w:type="dxa"/>
            <w:gridSpan w:val="2"/>
          </w:tcPr>
          <w:tbl>
            <w:tblPr>
              <w:tblW w:w="0" w:type="auto"/>
              <w:tblLayout w:type="fixed"/>
              <w:tblLook w:val="0000" w:firstRow="0" w:lastRow="0" w:firstColumn="0" w:lastColumn="0" w:noHBand="0" w:noVBand="0"/>
            </w:tblPr>
            <w:tblGrid>
              <w:gridCol w:w="9289"/>
            </w:tblGrid>
            <w:tr w:rsidR="00FE4B36" w:rsidRPr="007336DD" w:rsidTr="00B9701E">
              <w:trPr>
                <w:cantSplit/>
              </w:trPr>
              <w:tc>
                <w:tcPr>
                  <w:tcW w:w="9289" w:type="dxa"/>
                </w:tcPr>
                <w:p w:rsidR="00FE4B36" w:rsidRPr="007336DD" w:rsidRDefault="007E15B5" w:rsidP="00F1564E">
                  <w:pPr>
                    <w:jc w:val="right"/>
                    <w:rPr>
                      <w:b/>
                      <w:bCs/>
                      <w:sz w:val="28"/>
                    </w:rPr>
                  </w:pPr>
                  <w:r>
                    <w:rPr>
                      <w:b/>
                      <w:bCs/>
                      <w:sz w:val="28"/>
                    </w:rPr>
                    <w:t>COTER-VI/053</w:t>
                  </w:r>
                  <w:r w:rsidR="00FE4B36" w:rsidRPr="007336DD">
                    <w:rPr>
                      <w:b/>
                      <w:bCs/>
                      <w:sz w:val="28"/>
                    </w:rPr>
                    <w:t xml:space="preserve">  </w:t>
                  </w:r>
                </w:p>
              </w:tc>
            </w:tr>
          </w:tbl>
          <w:p w:rsidR="00444A98" w:rsidRPr="007336DD" w:rsidRDefault="00444A98" w:rsidP="00F1564E">
            <w:pPr>
              <w:jc w:val="right"/>
              <w:rPr>
                <w:b/>
                <w:bCs/>
                <w:sz w:val="28"/>
              </w:rPr>
            </w:pPr>
          </w:p>
        </w:tc>
      </w:tr>
      <w:tr w:rsidR="00444A98" w:rsidRPr="007336DD" w:rsidTr="006D78CA">
        <w:tc>
          <w:tcPr>
            <w:tcW w:w="9289" w:type="dxa"/>
            <w:gridSpan w:val="2"/>
          </w:tcPr>
          <w:p w:rsidR="00444A98" w:rsidRPr="007336DD" w:rsidRDefault="00FE4B36" w:rsidP="00F1564E">
            <w:pPr>
              <w:jc w:val="center"/>
              <w:rPr>
                <w:b/>
                <w:bCs/>
                <w:sz w:val="28"/>
              </w:rPr>
            </w:pPr>
            <w:r w:rsidRPr="007336DD">
              <w:rPr>
                <w:b/>
                <w:bCs/>
                <w:sz w:val="28"/>
              </w:rPr>
              <w:t>22</w:t>
            </w:r>
            <w:r w:rsidR="00A04B45">
              <w:rPr>
                <w:b/>
                <w:bCs/>
                <w:sz w:val="28"/>
              </w:rPr>
              <w:t>nd</w:t>
            </w:r>
            <w:r w:rsidRPr="007336DD">
              <w:rPr>
                <w:b/>
                <w:bCs/>
                <w:sz w:val="28"/>
              </w:rPr>
              <w:t xml:space="preserve"> Commission meeting, 26 March 2019</w:t>
            </w:r>
          </w:p>
        </w:tc>
      </w:tr>
    </w:tbl>
    <w:p w:rsidR="00444A98" w:rsidRPr="007336DD" w:rsidRDefault="009A16C1" w:rsidP="00F1564E">
      <w:r w:rsidRPr="007336DD">
        <w:rPr>
          <w:noProof/>
          <w:lang w:val="en-US"/>
        </w:rPr>
        <mc:AlternateContent>
          <mc:Choice Requires="wps">
            <w:drawing>
              <wp:anchor distT="0" distB="0" distL="114300" distR="114300" simplePos="0" relativeHeight="251659264" behindDoc="1" locked="0" layoutInCell="0" allowOverlap="1" wp14:anchorId="698A6633" wp14:editId="7D7F967A">
                <wp:simplePos x="0" y="0"/>
                <wp:positionH relativeFrom="page">
                  <wp:posOffset>6769100</wp:posOffset>
                </wp:positionH>
                <wp:positionV relativeFrom="page">
                  <wp:posOffset>10081260</wp:posOffset>
                </wp:positionV>
                <wp:extent cx="647700" cy="3962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A98" w:rsidRPr="00B33430" w:rsidRDefault="00444A98">
                            <w:pPr>
                              <w:jc w:val="center"/>
                              <w:rPr>
                                <w:rFonts w:ascii="Arial" w:hAnsi="Arial" w:cs="Arial"/>
                                <w:b/>
                                <w:bCs/>
                                <w:sz w:val="48"/>
                              </w:rPr>
                            </w:pPr>
                            <w:r w:rsidRPr="00B33430">
                              <w:rPr>
                                <w:rFonts w:ascii="Arial" w:hAnsi="Arial" w:cs="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3"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0IreQtQIAALgF&#10;AAAOAAAAAAAAAAAAAAAAAC4CAABkcnMvZTJvRG9jLnhtbFBLAQItABQABgAIAAAAIQDrVDFa3gAA&#10;AA8BAAAPAAAAAAAAAAAAAAAAAA8FAABkcnMvZG93bnJldi54bWxQSwUGAAAAAAQABADzAAAAGgYA&#10;AAAA&#10;">
                <v:textbox>
                  <w:txbxContent>
                    <w:p w:rsidRPr="00B33430" w:rsidR="00444A98" w:rsidRDefault="00444A98">
                      <w:pPr>
                        <w:jc w:val="center"/>
                        <w:rPr>
                          <w:rFonts w:ascii="Arial" w:hAnsi="Arial" w:cs="Arial"/>
                          <w:b/>
                          <w:bCs/>
                          <w:sz w:val="48"/>
                        </w:rPr>
                      </w:pPr>
                      <w:r w:rsidRPr="00B33430">
                        <w:rPr>
                          <w:rFonts w:ascii="Arial" w:hAnsi="Arial" w:cs="Arial"/>
                          <w:b/>
                          <w:bCs/>
                          <w:sz w:val="48"/>
                        </w:rPr>
                        <w:t>EN</w:t>
                      </w:r>
                    </w:p>
                  </w:txbxContent>
                </v:textbox>
                <w10:wrap anchorx="page" anchory="page"/>
              </v:shape>
            </w:pict>
          </mc:Fallback>
        </mc:AlternateContent>
      </w:r>
    </w:p>
    <w:p w:rsidR="00444A98" w:rsidRPr="007336DD" w:rsidRDefault="00444A98" w:rsidP="00F1564E"/>
    <w:p w:rsidR="001B33A4" w:rsidRPr="007336DD" w:rsidRDefault="00FE4B36" w:rsidP="00F1564E">
      <w:pPr>
        <w:jc w:val="center"/>
        <w:rPr>
          <w:b/>
          <w:bCs/>
          <w:sz w:val="28"/>
        </w:rPr>
      </w:pPr>
      <w:r w:rsidRPr="007336DD">
        <w:rPr>
          <w:b/>
          <w:bCs/>
          <w:sz w:val="28"/>
        </w:rPr>
        <w:t>WORKING DOCUMENT</w:t>
      </w:r>
    </w:p>
    <w:p w:rsidR="001B33A4" w:rsidRPr="007336DD" w:rsidRDefault="001B33A4" w:rsidP="00F1564E"/>
    <w:p w:rsidR="001B33A4" w:rsidRPr="007336DD" w:rsidRDefault="004C17B6" w:rsidP="00F1564E">
      <w:pPr>
        <w:jc w:val="center"/>
        <w:rPr>
          <w:b/>
          <w:bCs/>
          <w:sz w:val="28"/>
        </w:rPr>
      </w:pPr>
      <w:r w:rsidRPr="007336DD">
        <w:rPr>
          <w:b/>
          <w:sz w:val="28"/>
        </w:rPr>
        <w:t xml:space="preserve">Commission for </w:t>
      </w:r>
      <w:r w:rsidR="00373918" w:rsidRPr="007336DD">
        <w:rPr>
          <w:b/>
          <w:sz w:val="28"/>
        </w:rPr>
        <w:t>Territorial Cohesion Policy and EU Budget</w:t>
      </w:r>
    </w:p>
    <w:p w:rsidR="001B33A4" w:rsidRPr="007336DD" w:rsidRDefault="001B33A4" w:rsidP="00F1564E"/>
    <w:p w:rsidR="00444A98" w:rsidRPr="007336DD" w:rsidRDefault="007E15B5" w:rsidP="00F1564E">
      <w:pPr>
        <w:jc w:val="center"/>
        <w:rPr>
          <w:sz w:val="28"/>
          <w:szCs w:val="28"/>
        </w:rPr>
      </w:pPr>
      <w:r w:rsidRPr="007E15B5">
        <w:rPr>
          <w:b/>
          <w:bCs/>
          <w:sz w:val="28"/>
          <w:szCs w:val="28"/>
        </w:rPr>
        <w:t>Better Communication for Cohesion Policy</w:t>
      </w:r>
    </w:p>
    <w:p w:rsidR="00444A98" w:rsidRPr="007336DD" w:rsidRDefault="00444A98" w:rsidP="00F1564E">
      <w:pPr>
        <w:jc w:val="left"/>
      </w:pPr>
    </w:p>
    <w:p w:rsidR="00444A98" w:rsidRPr="007336DD" w:rsidRDefault="00444A98" w:rsidP="00F1564E"/>
    <w:tbl>
      <w:tblPr>
        <w:tblW w:w="5000" w:type="pct"/>
        <w:tblLook w:val="0000" w:firstRow="0" w:lastRow="0" w:firstColumn="0" w:lastColumn="0" w:noHBand="0" w:noVBand="0"/>
      </w:tblPr>
      <w:tblGrid>
        <w:gridCol w:w="9289"/>
      </w:tblGrid>
      <w:tr w:rsidR="00444A98" w:rsidRPr="007336DD" w:rsidTr="006D78CA">
        <w:tc>
          <w:tcPr>
            <w:tcW w:w="5000" w:type="pct"/>
          </w:tcPr>
          <w:p w:rsidR="00444A98" w:rsidRPr="007336DD" w:rsidRDefault="00444A98" w:rsidP="00F1564E">
            <w:pPr>
              <w:jc w:val="center"/>
            </w:pPr>
            <w:r w:rsidRPr="007336DD">
              <w:t>_____________</w:t>
            </w:r>
          </w:p>
          <w:p w:rsidR="00444A98" w:rsidRPr="007336DD" w:rsidRDefault="00444A98" w:rsidP="00F1564E">
            <w:pPr>
              <w:jc w:val="center"/>
            </w:pPr>
          </w:p>
          <w:p w:rsidR="00444A98" w:rsidRPr="007336DD" w:rsidRDefault="00444A98" w:rsidP="00F1564E">
            <w:pPr>
              <w:jc w:val="center"/>
              <w:rPr>
                <w:b/>
                <w:bCs/>
              </w:rPr>
            </w:pPr>
            <w:r w:rsidRPr="007336DD">
              <w:t>Rapporteur:</w:t>
            </w:r>
            <w:r w:rsidRPr="007336DD">
              <w:rPr>
                <w:b/>
                <w:bCs/>
              </w:rPr>
              <w:t xml:space="preserve"> </w:t>
            </w:r>
            <w:r w:rsidR="007E15B5">
              <w:rPr>
                <w:b/>
                <w:bCs/>
              </w:rPr>
              <w:t>Adrian Ovidiu Teban (RO/EPP)</w:t>
            </w:r>
          </w:p>
          <w:p w:rsidR="00F602A3" w:rsidRPr="007336DD" w:rsidRDefault="007E15B5" w:rsidP="00F1564E">
            <w:pPr>
              <w:jc w:val="center"/>
              <w:rPr>
                <w:bCs/>
              </w:rPr>
            </w:pPr>
            <w:r w:rsidRPr="007E15B5">
              <w:rPr>
                <w:bCs/>
              </w:rPr>
              <w:t>Mayor of Cugir</w:t>
            </w:r>
          </w:p>
          <w:p w:rsidR="00444A98" w:rsidRPr="007336DD" w:rsidRDefault="00444A98" w:rsidP="00F1564E">
            <w:pPr>
              <w:jc w:val="center"/>
            </w:pPr>
            <w:r w:rsidRPr="007336DD">
              <w:t>_____________</w:t>
            </w:r>
          </w:p>
        </w:tc>
      </w:tr>
    </w:tbl>
    <w:p w:rsidR="00444A98" w:rsidRPr="007336DD" w:rsidRDefault="00444A98" w:rsidP="00F1564E">
      <w:pPr>
        <w:jc w:val="left"/>
      </w:pPr>
    </w:p>
    <w:p w:rsidR="00444A98" w:rsidRPr="007336DD" w:rsidRDefault="00444A98" w:rsidP="00F1564E">
      <w:pPr>
        <w:jc w:val="left"/>
      </w:pPr>
    </w:p>
    <w:p w:rsidR="00444A98" w:rsidRPr="007336DD" w:rsidRDefault="00444A98" w:rsidP="00F1564E">
      <w:pPr>
        <w:jc w:val="left"/>
      </w:pPr>
    </w:p>
    <w:p w:rsidR="00444A98" w:rsidRPr="007336DD" w:rsidRDefault="00444A98" w:rsidP="00F1564E">
      <w:pPr>
        <w:jc w:val="left"/>
      </w:pPr>
    </w:p>
    <w:p w:rsidR="00444A98" w:rsidRPr="007336DD" w:rsidRDefault="00444A98" w:rsidP="00F1564E">
      <w:pPr>
        <w:jc w:val="left"/>
      </w:pPr>
    </w:p>
    <w:p w:rsidR="00444A98" w:rsidRPr="007336DD" w:rsidRDefault="00444A98" w:rsidP="00F1564E">
      <w:pPr>
        <w:jc w:val="left"/>
      </w:pPr>
    </w:p>
    <w:p w:rsidR="00444A98" w:rsidRPr="007336DD" w:rsidRDefault="00444A98" w:rsidP="00F1564E">
      <w:pPr>
        <w:jc w:val="left"/>
      </w:pPr>
    </w:p>
    <w:p w:rsidR="00444A98" w:rsidRPr="007336DD" w:rsidRDefault="00444A98" w:rsidP="00F1564E">
      <w:pPr>
        <w:jc w:val="left"/>
      </w:pPr>
    </w:p>
    <w:p w:rsidR="004C17B6" w:rsidRPr="007336DD" w:rsidRDefault="004C17B6" w:rsidP="00F1564E">
      <w:pPr>
        <w:jc w:val="left"/>
      </w:pPr>
    </w:p>
    <w:p w:rsidR="004C17B6" w:rsidRPr="007336DD" w:rsidRDefault="004C17B6" w:rsidP="00F1564E">
      <w:pPr>
        <w:jc w:val="left"/>
      </w:pPr>
    </w:p>
    <w:p w:rsidR="00444A98" w:rsidRPr="007336DD" w:rsidRDefault="00444A98" w:rsidP="00F1564E">
      <w:pPr>
        <w:jc w:val="left"/>
      </w:pPr>
    </w:p>
    <w:p w:rsidR="004C17B6" w:rsidRPr="007336DD" w:rsidRDefault="004C17B6" w:rsidP="00F1564E">
      <w:pPr>
        <w:jc w:val="left"/>
      </w:pPr>
    </w:p>
    <w:p w:rsidR="004C17B6" w:rsidRPr="007336DD" w:rsidRDefault="004C17B6" w:rsidP="00F1564E">
      <w:pPr>
        <w:jc w:val="left"/>
      </w:pPr>
    </w:p>
    <w:p w:rsidR="004C17B6" w:rsidRPr="007336DD" w:rsidRDefault="004C17B6" w:rsidP="00F1564E">
      <w:pPr>
        <w:jc w:val="left"/>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9"/>
      </w:tblGrid>
      <w:tr w:rsidR="004C17B6" w:rsidRPr="007336DD" w:rsidTr="00B9701E">
        <w:tc>
          <w:tcPr>
            <w:tcW w:w="9289" w:type="dxa"/>
            <w:tcBorders>
              <w:top w:val="single" w:sz="4" w:space="0" w:color="auto"/>
              <w:bottom w:val="single" w:sz="4" w:space="0" w:color="auto"/>
            </w:tcBorders>
          </w:tcPr>
          <w:p w:rsidR="004C17B6" w:rsidRPr="007336DD" w:rsidRDefault="004C17B6" w:rsidP="00F1564E">
            <w:pPr>
              <w:overflowPunct/>
              <w:autoSpaceDE/>
              <w:autoSpaceDN/>
              <w:adjustRightInd/>
              <w:textAlignment w:val="auto"/>
              <w:rPr>
                <w:bCs/>
                <w:iCs/>
                <w:color w:val="000000"/>
                <w:szCs w:val="22"/>
              </w:rPr>
            </w:pPr>
            <w:r w:rsidRPr="007336DD">
              <w:rPr>
                <w:szCs w:val="22"/>
              </w:rPr>
              <w:t xml:space="preserve">This document will be discussed at the meeting of the </w:t>
            </w:r>
            <w:r w:rsidRPr="007336DD">
              <w:rPr>
                <w:b/>
                <w:szCs w:val="22"/>
              </w:rPr>
              <w:t>Commission for Territorial Cohesion Policy and EU Budget</w:t>
            </w:r>
            <w:r w:rsidRPr="007336DD">
              <w:rPr>
                <w:szCs w:val="22"/>
              </w:rPr>
              <w:t xml:space="preserve"> to be held </w:t>
            </w:r>
            <w:r w:rsidRPr="007336DD">
              <w:rPr>
                <w:b/>
                <w:szCs w:val="22"/>
              </w:rPr>
              <w:t>from 10 a.m. to 1.30 p.m. on Tuesday 26 March 2019</w:t>
            </w:r>
            <w:r w:rsidR="00057E4A" w:rsidRPr="00057E4A">
              <w:rPr>
                <w:szCs w:val="22"/>
              </w:rPr>
              <w:t>.</w:t>
            </w:r>
          </w:p>
        </w:tc>
      </w:tr>
    </w:tbl>
    <w:p w:rsidR="004C17B6" w:rsidRPr="007336DD" w:rsidRDefault="004C17B6" w:rsidP="00F1564E">
      <w:pPr>
        <w:overflowPunct/>
        <w:autoSpaceDE/>
        <w:autoSpaceDN/>
        <w:adjustRightInd/>
        <w:textAlignment w:val="auto"/>
        <w:rPr>
          <w:szCs w:val="22"/>
        </w:rPr>
      </w:pPr>
    </w:p>
    <w:p w:rsidR="004C17B6" w:rsidRPr="007336DD" w:rsidRDefault="004C17B6" w:rsidP="00F1564E">
      <w:pPr>
        <w:jc w:val="left"/>
      </w:pPr>
    </w:p>
    <w:p w:rsidR="000D6A84" w:rsidRPr="007336DD" w:rsidRDefault="000D6A84" w:rsidP="00F1564E">
      <w:pPr>
        <w:tabs>
          <w:tab w:val="left" w:pos="440"/>
        </w:tabs>
        <w:ind w:left="440" w:hanging="440"/>
        <w:sectPr w:rsidR="000D6A84" w:rsidRPr="007336DD" w:rsidSect="00F1564E">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pgNumType w:start="1"/>
          <w:cols w:space="720"/>
          <w:docGrid w:linePitch="299"/>
        </w:sectPr>
      </w:pPr>
    </w:p>
    <w:tbl>
      <w:tblPr>
        <w:tblW w:w="0" w:type="auto"/>
        <w:tblLayout w:type="fixed"/>
        <w:tblLook w:val="01E0" w:firstRow="1" w:lastRow="1" w:firstColumn="1" w:lastColumn="1" w:noHBand="0" w:noVBand="0"/>
      </w:tblPr>
      <w:tblGrid>
        <w:gridCol w:w="9289"/>
      </w:tblGrid>
      <w:tr w:rsidR="00444A98" w:rsidRPr="007336DD" w:rsidTr="006D78CA">
        <w:trPr>
          <w:trHeight w:val="12474"/>
        </w:trPr>
        <w:tc>
          <w:tcPr>
            <w:tcW w:w="9289" w:type="dxa"/>
            <w:vAlign w:val="bottom"/>
          </w:tcPr>
          <w:p w:rsidR="00444A98" w:rsidRPr="007336DD" w:rsidRDefault="00444A98" w:rsidP="00F1564E">
            <w:pPr>
              <w:rPr>
                <w:u w:val="single"/>
              </w:rPr>
            </w:pPr>
            <w:r w:rsidRPr="007336DD">
              <w:rPr>
                <w:u w:val="single"/>
              </w:rPr>
              <w:lastRenderedPageBreak/>
              <w:t>Reference document</w:t>
            </w:r>
          </w:p>
          <w:p w:rsidR="00444A98" w:rsidRPr="007336DD" w:rsidRDefault="00444A98" w:rsidP="00F1564E"/>
          <w:p w:rsidR="00444A98" w:rsidRPr="007336DD" w:rsidRDefault="00F602A3" w:rsidP="00F1564E">
            <w:r w:rsidRPr="007336DD">
              <w:t>NA</w:t>
            </w:r>
          </w:p>
        </w:tc>
      </w:tr>
    </w:tbl>
    <w:p w:rsidR="00444A98" w:rsidRPr="007336DD" w:rsidRDefault="00444A98" w:rsidP="00F1564E">
      <w:pPr>
        <w:rPr>
          <w:szCs w:val="22"/>
        </w:rPr>
      </w:pPr>
    </w:p>
    <w:p w:rsidR="00444A98" w:rsidRPr="007336DD" w:rsidRDefault="00444A98" w:rsidP="00F1564E">
      <w:pPr>
        <w:jc w:val="center"/>
      </w:pPr>
      <w:r w:rsidRPr="007336DD">
        <w:rPr>
          <w:rFonts w:ascii="Times New Roman Bold" w:hAnsi="Times New Roman Bold"/>
          <w:b/>
          <w:bCs/>
          <w:szCs w:val="22"/>
        </w:rPr>
        <w:br w:type="page"/>
      </w:r>
      <w:r w:rsidR="00F602A3" w:rsidRPr="007336DD">
        <w:rPr>
          <w:b/>
        </w:rPr>
        <w:lastRenderedPageBreak/>
        <w:t>Working document</w:t>
      </w:r>
      <w:r w:rsidRPr="007336DD">
        <w:rPr>
          <w:b/>
        </w:rPr>
        <w:t xml:space="preserve"> of the Commission for </w:t>
      </w:r>
      <w:r w:rsidR="00F602A3" w:rsidRPr="007336DD">
        <w:rPr>
          <w:b/>
        </w:rPr>
        <w:t>Territorial Cohesion Policy and EU Budget</w:t>
      </w:r>
      <w:r w:rsidRPr="007336DD">
        <w:rPr>
          <w:b/>
        </w:rPr>
        <w:t xml:space="preserve"> – </w:t>
      </w:r>
      <w:r w:rsidR="007E15B5" w:rsidRPr="007E15B5">
        <w:rPr>
          <w:b/>
        </w:rPr>
        <w:t>Better Communication for Cohesion Policy</w:t>
      </w:r>
    </w:p>
    <w:p w:rsidR="00373918" w:rsidRPr="007336DD" w:rsidRDefault="00373918" w:rsidP="00F1564E"/>
    <w:p w:rsidR="008C4CFF" w:rsidRPr="00743C0A" w:rsidRDefault="00A04B45" w:rsidP="00F1564E">
      <w:pPr>
        <w:rPr>
          <w:b/>
          <w:szCs w:val="22"/>
        </w:rPr>
      </w:pPr>
      <w:r w:rsidRPr="00743C0A">
        <w:rPr>
          <w:b/>
          <w:szCs w:val="22"/>
        </w:rPr>
        <w:t>There is little a</w:t>
      </w:r>
      <w:r w:rsidR="008C4CFF" w:rsidRPr="00743C0A">
        <w:rPr>
          <w:b/>
          <w:szCs w:val="22"/>
        </w:rPr>
        <w:t xml:space="preserve">wareness of EU regional support </w:t>
      </w:r>
      <w:r w:rsidRPr="00743C0A">
        <w:rPr>
          <w:b/>
          <w:szCs w:val="22"/>
        </w:rPr>
        <w:t xml:space="preserve">and its impact </w:t>
      </w:r>
      <w:r w:rsidR="008C4CFF" w:rsidRPr="00743C0A">
        <w:rPr>
          <w:b/>
          <w:szCs w:val="22"/>
        </w:rPr>
        <w:t xml:space="preserve">is poorly perceived </w:t>
      </w:r>
      <w:r w:rsidRPr="00743C0A">
        <w:rPr>
          <w:b/>
          <w:szCs w:val="22"/>
        </w:rPr>
        <w:t>across</w:t>
      </w:r>
      <w:r w:rsidR="008C4CFF" w:rsidRPr="00743C0A">
        <w:rPr>
          <w:b/>
          <w:szCs w:val="22"/>
        </w:rPr>
        <w:t xml:space="preserve"> Europe.</w:t>
      </w:r>
    </w:p>
    <w:p w:rsidR="008C4CFF" w:rsidRPr="00743C0A" w:rsidRDefault="008C4CFF" w:rsidP="00F1564E">
      <w:pPr>
        <w:rPr>
          <w:szCs w:val="22"/>
        </w:rPr>
      </w:pPr>
    </w:p>
    <w:p w:rsidR="008C4CFF" w:rsidRPr="00743C0A" w:rsidRDefault="008C4CFF" w:rsidP="00F1564E">
      <w:pPr>
        <w:rPr>
          <w:szCs w:val="22"/>
        </w:rPr>
      </w:pPr>
      <w:r w:rsidRPr="00743C0A">
        <w:rPr>
          <w:szCs w:val="22"/>
        </w:rPr>
        <w:t xml:space="preserve">Only </w:t>
      </w:r>
      <w:r w:rsidRPr="00743C0A">
        <w:rPr>
          <w:b/>
          <w:bCs/>
          <w:szCs w:val="22"/>
        </w:rPr>
        <w:t>one third</w:t>
      </w:r>
      <w:r w:rsidRPr="00743C0A">
        <w:rPr>
          <w:szCs w:val="22"/>
        </w:rPr>
        <w:t xml:space="preserve"> of European citizens have heard of EU co-financed projects in the area in which they live, according to the last poll in the </w:t>
      </w:r>
      <w:r w:rsidRPr="00743C0A">
        <w:rPr>
          <w:i/>
          <w:iCs/>
          <w:szCs w:val="22"/>
        </w:rPr>
        <w:t>2017 Eurobarometer.</w:t>
      </w:r>
      <w:r w:rsidRPr="00743C0A">
        <w:rPr>
          <w:szCs w:val="22"/>
        </w:rPr>
        <w:t xml:space="preserve"> Almost 80% of citizens, however, believe that these projects on the development of cities or regions ha</w:t>
      </w:r>
      <w:r w:rsidR="00A04B45" w:rsidRPr="00743C0A">
        <w:rPr>
          <w:szCs w:val="22"/>
        </w:rPr>
        <w:t>ve</w:t>
      </w:r>
      <w:r w:rsidRPr="00743C0A">
        <w:rPr>
          <w:szCs w:val="22"/>
        </w:rPr>
        <w:t xml:space="preserve"> been positive. Yet only half of respondents have heard of development funds</w:t>
      </w:r>
      <w:r w:rsidR="00A04B45" w:rsidRPr="00743C0A">
        <w:rPr>
          <w:szCs w:val="22"/>
        </w:rPr>
        <w:t>, including</w:t>
      </w:r>
      <w:r w:rsidRPr="00743C0A">
        <w:rPr>
          <w:szCs w:val="22"/>
        </w:rPr>
        <w:t xml:space="preserve"> the </w:t>
      </w:r>
      <w:r w:rsidRPr="00743C0A">
        <w:rPr>
          <w:b/>
          <w:bCs/>
          <w:szCs w:val="22"/>
        </w:rPr>
        <w:t>Cohesion Fund.</w:t>
      </w:r>
    </w:p>
    <w:p w:rsidR="008C4CFF" w:rsidRPr="00743C0A" w:rsidRDefault="008C4CFF" w:rsidP="00F1564E">
      <w:pPr>
        <w:rPr>
          <w:szCs w:val="22"/>
        </w:rPr>
      </w:pPr>
    </w:p>
    <w:p w:rsidR="008C4CFF" w:rsidRPr="00743C0A" w:rsidRDefault="008C4CFF" w:rsidP="00F1564E">
      <w:pPr>
        <w:rPr>
          <w:szCs w:val="22"/>
        </w:rPr>
      </w:pPr>
      <w:r w:rsidRPr="00743C0A">
        <w:rPr>
          <w:szCs w:val="22"/>
        </w:rPr>
        <w:t>The majority of funding available under the cohesion policy is directed towards less developed regions (GDP lower than 75% of the EU average) and "transition regions" (GDP between 75% and 90% of the EU average).</w:t>
      </w:r>
      <w:r w:rsidR="00A04B45" w:rsidRPr="00743C0A">
        <w:rPr>
          <w:szCs w:val="22"/>
        </w:rPr>
        <w:t>I</w:t>
      </w:r>
      <w:r w:rsidRPr="00743C0A">
        <w:rPr>
          <w:szCs w:val="22"/>
        </w:rPr>
        <w:t xml:space="preserve">ndividual Member States and their regions are </w:t>
      </w:r>
      <w:r w:rsidR="00A04B45" w:rsidRPr="00743C0A">
        <w:rPr>
          <w:szCs w:val="22"/>
        </w:rPr>
        <w:t xml:space="preserve">usually </w:t>
      </w:r>
      <w:r w:rsidRPr="00743C0A">
        <w:rPr>
          <w:szCs w:val="22"/>
        </w:rPr>
        <w:t>the main recipients of co-financing for development projects. However, the EU is trying to promote horizontal cross-border cooperation in macro-regions such as the Danube or the Alpine region, in an effort to promote a shared approach to drive growth in these regions.</w:t>
      </w:r>
    </w:p>
    <w:p w:rsidR="008C4CFF" w:rsidRPr="00743C0A" w:rsidRDefault="008C4CFF" w:rsidP="00F1564E">
      <w:pPr>
        <w:rPr>
          <w:szCs w:val="22"/>
        </w:rPr>
      </w:pPr>
    </w:p>
    <w:p w:rsidR="008C4CFF" w:rsidRPr="00743C0A" w:rsidRDefault="008C4CFF" w:rsidP="00F1564E">
      <w:pPr>
        <w:rPr>
          <w:szCs w:val="22"/>
        </w:rPr>
      </w:pPr>
      <w:r w:rsidRPr="00743C0A">
        <w:rPr>
          <w:i/>
          <w:iCs/>
          <w:szCs w:val="22"/>
        </w:rPr>
        <w:t>More macro-regions (such as a presumptive Carpathian region) in less developed areas of the EU can increase the absorption of regional funds, enhance cohesion policy, bridge the developmental gap and bring EU cohesion policy closer to citizens.</w:t>
      </w:r>
    </w:p>
    <w:p w:rsidR="008C4CFF" w:rsidRPr="00743C0A" w:rsidRDefault="008C4CFF" w:rsidP="00F1564E">
      <w:pPr>
        <w:rPr>
          <w:szCs w:val="22"/>
        </w:rPr>
      </w:pPr>
    </w:p>
    <w:p w:rsidR="008C4CFF" w:rsidRPr="00743C0A" w:rsidRDefault="008C4CFF" w:rsidP="00F1564E">
      <w:pPr>
        <w:rPr>
          <w:szCs w:val="22"/>
        </w:rPr>
      </w:pPr>
      <w:r w:rsidRPr="00743C0A">
        <w:rPr>
          <w:szCs w:val="22"/>
        </w:rPr>
        <w:t xml:space="preserve">According to the same Eurobarometer, European cohesion policies are still poorly communicated and information sources tend to be </w:t>
      </w:r>
      <w:r w:rsidR="00A04B45" w:rsidRPr="00743C0A">
        <w:rPr>
          <w:szCs w:val="22"/>
        </w:rPr>
        <w:t>un</w:t>
      </w:r>
      <w:r w:rsidRPr="00743C0A">
        <w:rPr>
          <w:szCs w:val="22"/>
        </w:rPr>
        <w:t xml:space="preserve">diversified. </w:t>
      </w:r>
      <w:r w:rsidRPr="00743C0A">
        <w:rPr>
          <w:b/>
          <w:bCs/>
          <w:szCs w:val="22"/>
        </w:rPr>
        <w:t xml:space="preserve">Television </w:t>
      </w:r>
      <w:r w:rsidRPr="00743C0A">
        <w:rPr>
          <w:szCs w:val="22"/>
        </w:rPr>
        <w:t>remains the most common source of information about EU co-financed projects, for more tha</w:t>
      </w:r>
      <w:r w:rsidR="00A04B45" w:rsidRPr="00743C0A">
        <w:rPr>
          <w:szCs w:val="22"/>
        </w:rPr>
        <w:t>n</w:t>
      </w:r>
      <w:r w:rsidRPr="00743C0A">
        <w:rPr>
          <w:szCs w:val="22"/>
        </w:rPr>
        <w:t xml:space="preserve"> half of EU citizens. In particular, for 26% of EU citizens, television is the first source of information about EU cohesion policy.</w:t>
      </w:r>
    </w:p>
    <w:p w:rsidR="008C4CFF" w:rsidRPr="00743C0A" w:rsidRDefault="008C4CFF" w:rsidP="00F1564E">
      <w:pPr>
        <w:rPr>
          <w:szCs w:val="22"/>
        </w:rPr>
      </w:pPr>
    </w:p>
    <w:p w:rsidR="008C4CFF" w:rsidRPr="00743C0A" w:rsidRDefault="008C4CFF" w:rsidP="00F1564E">
      <w:pPr>
        <w:rPr>
          <w:szCs w:val="22"/>
        </w:rPr>
      </w:pPr>
      <w:r w:rsidRPr="00743C0A">
        <w:rPr>
          <w:szCs w:val="22"/>
        </w:rPr>
        <w:t xml:space="preserve">The highest </w:t>
      </w:r>
      <w:r w:rsidR="00831C6A" w:rsidRPr="00743C0A">
        <w:rPr>
          <w:szCs w:val="22"/>
        </w:rPr>
        <w:t xml:space="preserve">perceived </w:t>
      </w:r>
      <w:r w:rsidRPr="00743C0A">
        <w:rPr>
          <w:szCs w:val="22"/>
        </w:rPr>
        <w:t xml:space="preserve">priority is to invest in regions with high unemployment. EU regional policy investments should focus on education, health </w:t>
      </w:r>
      <w:r w:rsidR="00831C6A" w:rsidRPr="00743C0A">
        <w:rPr>
          <w:szCs w:val="22"/>
        </w:rPr>
        <w:t>and</w:t>
      </w:r>
      <w:r w:rsidRPr="00743C0A">
        <w:rPr>
          <w:szCs w:val="22"/>
        </w:rPr>
        <w:t xml:space="preserve"> social infrastructures, which are regarded as </w:t>
      </w:r>
      <w:r w:rsidR="00831C6A" w:rsidRPr="00743C0A">
        <w:rPr>
          <w:szCs w:val="22"/>
        </w:rPr>
        <w:t xml:space="preserve">the </w:t>
      </w:r>
      <w:r w:rsidRPr="00743C0A">
        <w:rPr>
          <w:szCs w:val="22"/>
        </w:rPr>
        <w:t>mo</w:t>
      </w:r>
      <w:r w:rsidR="00831C6A" w:rsidRPr="00743C0A">
        <w:rPr>
          <w:szCs w:val="22"/>
        </w:rPr>
        <w:t>st</w:t>
      </w:r>
      <w:r w:rsidRPr="00743C0A">
        <w:rPr>
          <w:szCs w:val="22"/>
        </w:rPr>
        <w:t xml:space="preserve"> important areas for investment.</w:t>
      </w:r>
    </w:p>
    <w:p w:rsidR="008C4CFF" w:rsidRPr="00743C0A" w:rsidRDefault="008C4CFF" w:rsidP="00F1564E">
      <w:pPr>
        <w:rPr>
          <w:szCs w:val="22"/>
        </w:rPr>
      </w:pPr>
    </w:p>
    <w:p w:rsidR="008C4CFF" w:rsidRPr="00743C0A" w:rsidRDefault="00831C6A" w:rsidP="00F1564E">
      <w:pPr>
        <w:rPr>
          <w:szCs w:val="22"/>
        </w:rPr>
      </w:pPr>
      <w:r w:rsidRPr="00743C0A">
        <w:rPr>
          <w:szCs w:val="22"/>
        </w:rPr>
        <w:t>M</w:t>
      </w:r>
      <w:r w:rsidR="008C4CFF" w:rsidRPr="00743C0A">
        <w:rPr>
          <w:szCs w:val="22"/>
        </w:rPr>
        <w:t xml:space="preserve">ultilevel governance should be followed </w:t>
      </w:r>
      <w:r w:rsidR="00296024" w:rsidRPr="00743C0A">
        <w:rPr>
          <w:szCs w:val="22"/>
        </w:rPr>
        <w:t xml:space="preserve">by </w:t>
      </w:r>
      <w:r w:rsidR="008C4CFF" w:rsidRPr="00743C0A">
        <w:rPr>
          <w:szCs w:val="22"/>
        </w:rPr>
        <w:t>better communication. Over 30% of European citizens say that decisions about EU regional policy projects should be taken at regional level, whereas almost one in five think that these decisions should be taken at European level.</w:t>
      </w:r>
    </w:p>
    <w:p w:rsidR="008C4CFF" w:rsidRPr="00743C0A" w:rsidRDefault="008C4CFF" w:rsidP="00F1564E">
      <w:pPr>
        <w:rPr>
          <w:szCs w:val="22"/>
        </w:rPr>
      </w:pPr>
    </w:p>
    <w:p w:rsidR="008C4CFF" w:rsidRPr="00743C0A" w:rsidRDefault="008C4CFF" w:rsidP="00F1564E">
      <w:pPr>
        <w:rPr>
          <w:szCs w:val="22"/>
        </w:rPr>
      </w:pPr>
      <w:r w:rsidRPr="00743C0A">
        <w:rPr>
          <w:i/>
          <w:iCs/>
          <w:szCs w:val="22"/>
        </w:rPr>
        <w:t xml:space="preserve">Therefore, communication of cohesion policy should focused </w:t>
      </w:r>
      <w:r w:rsidR="00DC5E9F" w:rsidRPr="00743C0A">
        <w:rPr>
          <w:i/>
          <w:iCs/>
          <w:szCs w:val="22"/>
        </w:rPr>
        <w:t xml:space="preserve">on </w:t>
      </w:r>
      <w:r w:rsidRPr="00743C0A">
        <w:rPr>
          <w:b/>
          <w:bCs/>
          <w:i/>
          <w:iCs/>
          <w:szCs w:val="22"/>
        </w:rPr>
        <w:t>framing public information</w:t>
      </w:r>
      <w:r w:rsidR="00DC5E9F" w:rsidRPr="00743C0A">
        <w:rPr>
          <w:b/>
          <w:bCs/>
          <w:i/>
          <w:iCs/>
          <w:szCs w:val="22"/>
        </w:rPr>
        <w:t xml:space="preserve"> from a regional perspective</w:t>
      </w:r>
      <w:r w:rsidRPr="00743C0A">
        <w:rPr>
          <w:i/>
          <w:iCs/>
          <w:szCs w:val="22"/>
        </w:rPr>
        <w:t>.</w:t>
      </w:r>
    </w:p>
    <w:p w:rsidR="00F53598" w:rsidRPr="00743C0A" w:rsidRDefault="00F53598" w:rsidP="00F1564E">
      <w:pPr>
        <w:rPr>
          <w:szCs w:val="22"/>
        </w:rPr>
      </w:pPr>
    </w:p>
    <w:p w:rsidR="008C4CFF" w:rsidRPr="00743C0A" w:rsidRDefault="008C4CFF" w:rsidP="00F1564E">
      <w:pPr>
        <w:rPr>
          <w:b/>
          <w:bCs/>
          <w:szCs w:val="22"/>
        </w:rPr>
      </w:pPr>
      <w:r w:rsidRPr="00743C0A">
        <w:rPr>
          <w:b/>
          <w:bCs/>
          <w:szCs w:val="22"/>
        </w:rPr>
        <w:t>A European public sphere</w:t>
      </w:r>
      <w:r w:rsidR="00F53598" w:rsidRPr="00743C0A">
        <w:rPr>
          <w:b/>
          <w:bCs/>
          <w:szCs w:val="22"/>
        </w:rPr>
        <w:t xml:space="preserve">: </w:t>
      </w:r>
      <w:r w:rsidRPr="00743C0A">
        <w:rPr>
          <w:b/>
          <w:bCs/>
          <w:szCs w:val="22"/>
        </w:rPr>
        <w:t>Awareness relat</w:t>
      </w:r>
      <w:r w:rsidR="00DC5E9F" w:rsidRPr="00743C0A">
        <w:rPr>
          <w:b/>
          <w:bCs/>
          <w:szCs w:val="22"/>
        </w:rPr>
        <w:t>ing</w:t>
      </w:r>
      <w:r w:rsidRPr="00743C0A">
        <w:rPr>
          <w:b/>
          <w:bCs/>
          <w:szCs w:val="22"/>
        </w:rPr>
        <w:t xml:space="preserve"> to cohesion policy</w:t>
      </w:r>
    </w:p>
    <w:p w:rsidR="008C4CFF" w:rsidRPr="00743C0A" w:rsidRDefault="008C4CFF" w:rsidP="00F1564E">
      <w:pPr>
        <w:rPr>
          <w:b/>
          <w:bCs/>
          <w:szCs w:val="22"/>
        </w:rPr>
      </w:pPr>
    </w:p>
    <w:p w:rsidR="008C4CFF" w:rsidRPr="00743C0A" w:rsidRDefault="008C4CFF" w:rsidP="00F1564E">
      <w:pPr>
        <w:rPr>
          <w:szCs w:val="22"/>
        </w:rPr>
      </w:pPr>
      <w:r w:rsidRPr="00743C0A">
        <w:rPr>
          <w:szCs w:val="22"/>
        </w:rPr>
        <w:t>Qualitative research</w:t>
      </w:r>
      <w:bookmarkStart w:id="1" w:name="_Ref3206888"/>
      <w:r w:rsidRPr="00743C0A">
        <w:rPr>
          <w:rStyle w:val="FootnoteReference"/>
          <w:sz w:val="22"/>
          <w:szCs w:val="22"/>
        </w:rPr>
        <w:footnoteReference w:id="1"/>
      </w:r>
      <w:bookmarkEnd w:id="1"/>
      <w:r w:rsidRPr="00743C0A">
        <w:rPr>
          <w:rFonts w:eastAsia="Calibri"/>
          <w:szCs w:val="22"/>
        </w:rPr>
        <w:t xml:space="preserve"> </w:t>
      </w:r>
      <w:r w:rsidR="00831C6A" w:rsidRPr="00743C0A">
        <w:rPr>
          <w:szCs w:val="22"/>
        </w:rPr>
        <w:t xml:space="preserve">has revealed </w:t>
      </w:r>
      <w:r w:rsidRPr="00743C0A">
        <w:rPr>
          <w:szCs w:val="22"/>
        </w:rPr>
        <w:t xml:space="preserve">that the link between allocation of funds and awareness is stronger for </w:t>
      </w:r>
      <w:r w:rsidR="005D7433" w:rsidRPr="00743C0A">
        <w:rPr>
          <w:szCs w:val="22"/>
        </w:rPr>
        <w:t xml:space="preserve">people with </w:t>
      </w:r>
      <w:r w:rsidRPr="00743C0A">
        <w:rPr>
          <w:szCs w:val="22"/>
        </w:rPr>
        <w:t>higher levels of education and for people in their fifties.</w:t>
      </w:r>
    </w:p>
    <w:p w:rsidR="008C4CFF" w:rsidRPr="00743C0A" w:rsidRDefault="008C4CFF" w:rsidP="00F1564E">
      <w:pPr>
        <w:rPr>
          <w:szCs w:val="22"/>
        </w:rPr>
      </w:pPr>
    </w:p>
    <w:p w:rsidR="008C4CFF" w:rsidRPr="00743C0A" w:rsidRDefault="008C4CFF" w:rsidP="00F1564E">
      <w:pPr>
        <w:rPr>
          <w:szCs w:val="22"/>
        </w:rPr>
      </w:pPr>
      <w:r w:rsidRPr="00743C0A">
        <w:rPr>
          <w:szCs w:val="22"/>
        </w:rPr>
        <w:t xml:space="preserve">This finding indicated that </w:t>
      </w:r>
      <w:r w:rsidR="00752584" w:rsidRPr="00743C0A">
        <w:rPr>
          <w:szCs w:val="22"/>
        </w:rPr>
        <w:t xml:space="preserve">adequate communication processes and education </w:t>
      </w:r>
      <w:r w:rsidR="00743C0A" w:rsidRPr="00743C0A">
        <w:rPr>
          <w:szCs w:val="22"/>
        </w:rPr>
        <w:t xml:space="preserve">are linked to adequate </w:t>
      </w:r>
      <w:r w:rsidRPr="00743C0A">
        <w:rPr>
          <w:szCs w:val="22"/>
        </w:rPr>
        <w:t>fund allocation and awareness o</w:t>
      </w:r>
      <w:r w:rsidR="00595568">
        <w:rPr>
          <w:szCs w:val="22"/>
        </w:rPr>
        <w:t>f</w:t>
      </w:r>
      <w:r w:rsidRPr="00743C0A">
        <w:rPr>
          <w:szCs w:val="22"/>
        </w:rPr>
        <w:t xml:space="preserve"> EU polic</w:t>
      </w:r>
      <w:r w:rsidR="00743C0A" w:rsidRPr="00743C0A">
        <w:rPr>
          <w:szCs w:val="22"/>
        </w:rPr>
        <w:t>ies</w:t>
      </w:r>
      <w:r w:rsidRPr="00743C0A">
        <w:rPr>
          <w:szCs w:val="22"/>
        </w:rPr>
        <w:t xml:space="preserve">. </w:t>
      </w:r>
      <w:r w:rsidR="005D7433" w:rsidRPr="00743C0A">
        <w:rPr>
          <w:szCs w:val="22"/>
        </w:rPr>
        <w:t>Spending more on communicating</w:t>
      </w:r>
      <w:r w:rsidRPr="00743C0A">
        <w:rPr>
          <w:szCs w:val="22"/>
        </w:rPr>
        <w:t xml:space="preserve"> cohesion policy </w:t>
      </w:r>
      <w:r w:rsidR="00973A51">
        <w:rPr>
          <w:szCs w:val="22"/>
        </w:rPr>
        <w:t>will</w:t>
      </w:r>
      <w:r w:rsidRPr="00743C0A">
        <w:rPr>
          <w:szCs w:val="22"/>
        </w:rPr>
        <w:t xml:space="preserve"> increase citizens’ awareness</w:t>
      </w:r>
      <w:r w:rsidR="00973A51">
        <w:rPr>
          <w:szCs w:val="22"/>
        </w:rPr>
        <w:t xml:space="preserve"> o</w:t>
      </w:r>
      <w:r w:rsidR="00713ABC">
        <w:rPr>
          <w:szCs w:val="22"/>
        </w:rPr>
        <w:t>f</w:t>
      </w:r>
      <w:r w:rsidR="00973A51">
        <w:rPr>
          <w:szCs w:val="22"/>
        </w:rPr>
        <w:t xml:space="preserve"> the importance of the European Union</w:t>
      </w:r>
      <w:r w:rsidRPr="00743C0A">
        <w:rPr>
          <w:szCs w:val="22"/>
        </w:rPr>
        <w:t>.</w:t>
      </w:r>
    </w:p>
    <w:p w:rsidR="008C4CFF" w:rsidRPr="00743C0A" w:rsidRDefault="008C4CFF" w:rsidP="00F1564E">
      <w:pPr>
        <w:rPr>
          <w:szCs w:val="22"/>
        </w:rPr>
      </w:pPr>
    </w:p>
    <w:p w:rsidR="008C4CFF" w:rsidRPr="00743C0A" w:rsidRDefault="008C4CFF" w:rsidP="00F1564E">
      <w:pPr>
        <w:rPr>
          <w:szCs w:val="22"/>
        </w:rPr>
      </w:pPr>
      <w:r w:rsidRPr="00743C0A">
        <w:rPr>
          <w:szCs w:val="22"/>
        </w:rPr>
        <w:t xml:space="preserve">However, not only economic factors produce awareness. Different strands of analysis detect groups of citizens whose awareness of EU (cohesion) policies seems to be connected to political and identification processes. As regards political involvement, awareness is more likely as the number of citizens having </w:t>
      </w:r>
      <w:r w:rsidRPr="00743C0A">
        <w:rPr>
          <w:b/>
          <w:bCs/>
          <w:szCs w:val="22"/>
        </w:rPr>
        <w:t>voted in European elections</w:t>
      </w:r>
      <w:r w:rsidRPr="00743C0A">
        <w:rPr>
          <w:szCs w:val="22"/>
        </w:rPr>
        <w:t xml:space="preserve"> increases.</w:t>
      </w:r>
    </w:p>
    <w:p w:rsidR="008C4CFF" w:rsidRPr="00743C0A" w:rsidRDefault="008C4CFF" w:rsidP="00F1564E">
      <w:pPr>
        <w:rPr>
          <w:szCs w:val="22"/>
        </w:rPr>
      </w:pPr>
    </w:p>
    <w:p w:rsidR="008C4CFF" w:rsidRPr="00743C0A" w:rsidRDefault="008C4CFF" w:rsidP="00F1564E">
      <w:pPr>
        <w:rPr>
          <w:szCs w:val="22"/>
        </w:rPr>
      </w:pPr>
      <w:r w:rsidRPr="00743C0A">
        <w:rPr>
          <w:szCs w:val="22"/>
        </w:rPr>
        <w:t>Also, besides political involvement, when identification with the European Union and with a common European history and culture is high, citizens are more aware of European (cohesion) policies. However, the role of education, welfare and age is important.</w:t>
      </w:r>
    </w:p>
    <w:p w:rsidR="008C4CFF" w:rsidRPr="00743C0A" w:rsidRDefault="008C4CFF" w:rsidP="00F1564E">
      <w:pPr>
        <w:rPr>
          <w:szCs w:val="22"/>
        </w:rPr>
      </w:pPr>
    </w:p>
    <w:p w:rsidR="008C4CFF" w:rsidRPr="00743C0A" w:rsidRDefault="008C4CFF" w:rsidP="00F1564E">
      <w:pPr>
        <w:rPr>
          <w:szCs w:val="22"/>
        </w:rPr>
      </w:pPr>
      <w:r w:rsidRPr="00743C0A">
        <w:rPr>
          <w:i/>
          <w:iCs/>
          <w:szCs w:val="22"/>
        </w:rPr>
        <w:t xml:space="preserve">Communication of cohesion policy should be connected with campaigns aiming at political involvement at EU level. Voting in EU elections is likely to be a prerequisite </w:t>
      </w:r>
      <w:r w:rsidR="00296024" w:rsidRPr="00743C0A">
        <w:rPr>
          <w:i/>
          <w:iCs/>
          <w:szCs w:val="22"/>
        </w:rPr>
        <w:t xml:space="preserve">for </w:t>
      </w:r>
      <w:r w:rsidRPr="00743C0A">
        <w:rPr>
          <w:i/>
          <w:iCs/>
          <w:szCs w:val="22"/>
        </w:rPr>
        <w:t xml:space="preserve">awareness and </w:t>
      </w:r>
      <w:r w:rsidR="00296024" w:rsidRPr="00743C0A">
        <w:rPr>
          <w:i/>
          <w:iCs/>
          <w:szCs w:val="22"/>
        </w:rPr>
        <w:t xml:space="preserve">for </w:t>
      </w:r>
      <w:r w:rsidRPr="00743C0A">
        <w:rPr>
          <w:i/>
          <w:iCs/>
          <w:szCs w:val="22"/>
        </w:rPr>
        <w:t>keeping informed on European policies.</w:t>
      </w:r>
    </w:p>
    <w:p w:rsidR="008C4CFF" w:rsidRPr="00743C0A" w:rsidRDefault="008C4CFF" w:rsidP="00F1564E">
      <w:pPr>
        <w:rPr>
          <w:szCs w:val="22"/>
        </w:rPr>
      </w:pPr>
    </w:p>
    <w:p w:rsidR="008C4CFF" w:rsidRPr="00743C0A" w:rsidRDefault="008C4CFF" w:rsidP="00F1564E">
      <w:pPr>
        <w:rPr>
          <w:b/>
          <w:bCs/>
          <w:szCs w:val="22"/>
        </w:rPr>
      </w:pPr>
      <w:r w:rsidRPr="00743C0A">
        <w:rPr>
          <w:b/>
          <w:bCs/>
          <w:szCs w:val="22"/>
        </w:rPr>
        <w:t xml:space="preserve">Personal benefit </w:t>
      </w:r>
      <w:r w:rsidR="00296024" w:rsidRPr="00743C0A">
        <w:rPr>
          <w:b/>
          <w:bCs/>
          <w:szCs w:val="22"/>
        </w:rPr>
        <w:t>deriving</w:t>
      </w:r>
      <w:r w:rsidRPr="00743C0A">
        <w:rPr>
          <w:b/>
          <w:bCs/>
          <w:szCs w:val="22"/>
        </w:rPr>
        <w:t xml:space="preserve"> from cohesion policy</w:t>
      </w:r>
    </w:p>
    <w:p w:rsidR="008C4CFF" w:rsidRPr="00743C0A" w:rsidRDefault="008C4CFF" w:rsidP="00F1564E">
      <w:pPr>
        <w:rPr>
          <w:b/>
          <w:bCs/>
          <w:szCs w:val="22"/>
        </w:rPr>
      </w:pPr>
    </w:p>
    <w:p w:rsidR="008C4CFF" w:rsidRPr="00743C0A" w:rsidRDefault="008C4CFF" w:rsidP="00F1564E">
      <w:pPr>
        <w:rPr>
          <w:szCs w:val="22"/>
        </w:rPr>
      </w:pPr>
      <w:r w:rsidRPr="00743C0A">
        <w:rPr>
          <w:szCs w:val="22"/>
        </w:rPr>
        <w:t xml:space="preserve">Perceived personal benefit mixes elements of awareness and appreciation. The effect of both the general amount of EU funds pro capita and </w:t>
      </w:r>
      <w:r w:rsidR="00296024" w:rsidRPr="00743C0A">
        <w:rPr>
          <w:szCs w:val="22"/>
        </w:rPr>
        <w:t xml:space="preserve">expenditure </w:t>
      </w:r>
      <w:r w:rsidRPr="00743C0A">
        <w:rPr>
          <w:szCs w:val="22"/>
        </w:rPr>
        <w:t xml:space="preserve">specifically allocated to communication  initiatives positively correlate with a higher probability of perceived benefit for the European citizen. This is rather intuitive, as the underlying idea follows, that more funds should lead to more financed projects and more communication to knowledge and eventually </w:t>
      </w:r>
      <w:r w:rsidR="00A9063C" w:rsidRPr="00743C0A">
        <w:rPr>
          <w:szCs w:val="22"/>
        </w:rPr>
        <w:t xml:space="preserve">the </w:t>
      </w:r>
      <w:r w:rsidRPr="00743C0A">
        <w:rPr>
          <w:szCs w:val="22"/>
        </w:rPr>
        <w:t xml:space="preserve">perceived  benefit </w:t>
      </w:r>
      <w:r w:rsidR="00A9063C" w:rsidRPr="00743C0A">
        <w:rPr>
          <w:szCs w:val="22"/>
        </w:rPr>
        <w:t xml:space="preserve">of </w:t>
      </w:r>
      <w:r w:rsidRPr="00743C0A">
        <w:rPr>
          <w:szCs w:val="22"/>
        </w:rPr>
        <w:t>the projects.</w:t>
      </w:r>
    </w:p>
    <w:p w:rsidR="008C4CFF" w:rsidRPr="00743C0A" w:rsidRDefault="008C4CFF" w:rsidP="00F1564E">
      <w:pPr>
        <w:rPr>
          <w:szCs w:val="22"/>
        </w:rPr>
      </w:pPr>
    </w:p>
    <w:p w:rsidR="008C4CFF" w:rsidRPr="00743C0A" w:rsidRDefault="008C4CFF" w:rsidP="00F1564E">
      <w:pPr>
        <w:rPr>
          <w:szCs w:val="22"/>
        </w:rPr>
      </w:pPr>
      <w:r w:rsidRPr="00743C0A">
        <w:rPr>
          <w:szCs w:val="22"/>
        </w:rPr>
        <w:t>As far as European identity and political participation are concerned, they are positively and significantly associated with the probability of assuming a perceived personal benefit from EU</w:t>
      </w:r>
      <w:r w:rsidR="00A9063C" w:rsidRPr="00743C0A">
        <w:rPr>
          <w:szCs w:val="22"/>
        </w:rPr>
        <w:t>-</w:t>
      </w:r>
      <w:r w:rsidRPr="00743C0A">
        <w:rPr>
          <w:szCs w:val="22"/>
        </w:rPr>
        <w:t>financed projects.</w:t>
      </w:r>
    </w:p>
    <w:p w:rsidR="008C4CFF" w:rsidRPr="00743C0A" w:rsidRDefault="008C4CFF" w:rsidP="00F1564E">
      <w:pPr>
        <w:rPr>
          <w:szCs w:val="22"/>
        </w:rPr>
      </w:pPr>
    </w:p>
    <w:p w:rsidR="008C4CFF" w:rsidRPr="00743C0A" w:rsidRDefault="008C4CFF" w:rsidP="00F1564E">
      <w:pPr>
        <w:rPr>
          <w:szCs w:val="22"/>
        </w:rPr>
      </w:pPr>
      <w:r w:rsidRPr="00743C0A">
        <w:rPr>
          <w:szCs w:val="22"/>
        </w:rPr>
        <w:t>The value of mobility is positively associated with perceived benefit</w:t>
      </w:r>
      <w:r w:rsidR="00A9063C" w:rsidRPr="00743C0A">
        <w:rPr>
          <w:szCs w:val="22"/>
        </w:rPr>
        <w:t>;</w:t>
      </w:r>
      <w:r w:rsidRPr="00743C0A">
        <w:rPr>
          <w:szCs w:val="22"/>
        </w:rPr>
        <w:t xml:space="preserve"> however the historic</w:t>
      </w:r>
      <w:r w:rsidR="00A9063C" w:rsidRPr="00743C0A">
        <w:rPr>
          <w:szCs w:val="22"/>
        </w:rPr>
        <w:t>al</w:t>
      </w:r>
      <w:r w:rsidRPr="00743C0A">
        <w:rPr>
          <w:szCs w:val="22"/>
        </w:rPr>
        <w:t xml:space="preserve">-cultural element is perceived as being potentially more characteristic of </w:t>
      </w:r>
      <w:r w:rsidR="00A9063C" w:rsidRPr="00743C0A">
        <w:rPr>
          <w:szCs w:val="22"/>
        </w:rPr>
        <w:t xml:space="preserve">individual </w:t>
      </w:r>
      <w:r w:rsidRPr="00743C0A">
        <w:rPr>
          <w:szCs w:val="22"/>
        </w:rPr>
        <w:t>Eurosceptic profiles.</w:t>
      </w:r>
    </w:p>
    <w:p w:rsidR="008C4CFF" w:rsidRPr="00743C0A" w:rsidRDefault="008C4CFF" w:rsidP="00F1564E">
      <w:pPr>
        <w:rPr>
          <w:szCs w:val="22"/>
        </w:rPr>
      </w:pPr>
    </w:p>
    <w:p w:rsidR="008C4CFF" w:rsidRPr="00743C0A" w:rsidRDefault="008C4CFF" w:rsidP="00F1564E">
      <w:pPr>
        <w:rPr>
          <w:szCs w:val="22"/>
        </w:rPr>
      </w:pPr>
      <w:r w:rsidRPr="00743C0A">
        <w:rPr>
          <w:i/>
          <w:iCs/>
          <w:szCs w:val="22"/>
        </w:rPr>
        <w:t>This latter finding might open new lines of interpretation such as pointing to a perceived benefit deriving from the valori</w:t>
      </w:r>
      <w:r w:rsidR="00A9063C" w:rsidRPr="00743C0A">
        <w:rPr>
          <w:i/>
          <w:iCs/>
          <w:szCs w:val="22"/>
        </w:rPr>
        <w:t>s</w:t>
      </w:r>
      <w:r w:rsidRPr="00743C0A">
        <w:rPr>
          <w:i/>
          <w:iCs/>
          <w:szCs w:val="22"/>
        </w:rPr>
        <w:t>ation of the cultural heritage of regions.</w:t>
      </w:r>
    </w:p>
    <w:p w:rsidR="00F53598" w:rsidRPr="00743C0A" w:rsidRDefault="00F53598" w:rsidP="00F1564E">
      <w:pPr>
        <w:rPr>
          <w:szCs w:val="22"/>
        </w:rPr>
      </w:pPr>
    </w:p>
    <w:p w:rsidR="008C4CFF" w:rsidRPr="00743C0A" w:rsidRDefault="008C4CFF" w:rsidP="00F1564E">
      <w:pPr>
        <w:rPr>
          <w:szCs w:val="22"/>
        </w:rPr>
      </w:pPr>
      <w:r w:rsidRPr="00743C0A">
        <w:rPr>
          <w:b/>
          <w:bCs/>
          <w:szCs w:val="22"/>
        </w:rPr>
        <w:t xml:space="preserve">Appreciation of </w:t>
      </w:r>
      <w:r w:rsidR="00A9063C" w:rsidRPr="00743C0A">
        <w:rPr>
          <w:b/>
          <w:bCs/>
          <w:szCs w:val="22"/>
        </w:rPr>
        <w:t xml:space="preserve">a </w:t>
      </w:r>
      <w:r w:rsidRPr="00743C0A">
        <w:rPr>
          <w:b/>
          <w:bCs/>
          <w:szCs w:val="22"/>
        </w:rPr>
        <w:t xml:space="preserve">country's membership </w:t>
      </w:r>
      <w:r w:rsidR="00A9063C" w:rsidRPr="00743C0A">
        <w:rPr>
          <w:b/>
          <w:bCs/>
          <w:szCs w:val="22"/>
        </w:rPr>
        <w:t xml:space="preserve">of </w:t>
      </w:r>
      <w:r w:rsidRPr="00743C0A">
        <w:rPr>
          <w:b/>
          <w:bCs/>
          <w:szCs w:val="22"/>
        </w:rPr>
        <w:t>the EU</w:t>
      </w:r>
    </w:p>
    <w:p w:rsidR="008C4CFF" w:rsidRPr="00743C0A" w:rsidRDefault="008C4CFF" w:rsidP="00F1564E">
      <w:pPr>
        <w:rPr>
          <w:szCs w:val="22"/>
        </w:rPr>
      </w:pPr>
    </w:p>
    <w:p w:rsidR="008C4CFF" w:rsidRPr="00743C0A" w:rsidRDefault="008C4CFF" w:rsidP="00F1564E">
      <w:pPr>
        <w:rPr>
          <w:szCs w:val="22"/>
        </w:rPr>
      </w:pPr>
      <w:r w:rsidRPr="00743C0A">
        <w:rPr>
          <w:szCs w:val="22"/>
        </w:rPr>
        <w:t>The economic effect of investments seems to have some impact on citizens’ appreciation of EU membership. More specifically, allocation of funds is positively associated with higher appreciation of EU membership.</w:t>
      </w:r>
    </w:p>
    <w:p w:rsidR="008C4CFF" w:rsidRPr="00743C0A" w:rsidRDefault="008C4CFF" w:rsidP="00F1564E">
      <w:pPr>
        <w:rPr>
          <w:szCs w:val="22"/>
        </w:rPr>
      </w:pPr>
    </w:p>
    <w:p w:rsidR="008C4CFF" w:rsidRPr="00743C0A" w:rsidRDefault="008C4CFF" w:rsidP="00F1564E">
      <w:pPr>
        <w:rPr>
          <w:szCs w:val="22"/>
        </w:rPr>
      </w:pPr>
      <w:r w:rsidRPr="00743C0A">
        <w:rPr>
          <w:szCs w:val="22"/>
        </w:rPr>
        <w:lastRenderedPageBreak/>
        <w:t>Citizen</w:t>
      </w:r>
      <w:r w:rsidR="00A9063C" w:rsidRPr="00743C0A">
        <w:rPr>
          <w:szCs w:val="22"/>
        </w:rPr>
        <w:t>s'</w:t>
      </w:r>
      <w:r w:rsidRPr="00743C0A">
        <w:rPr>
          <w:szCs w:val="22"/>
        </w:rPr>
        <w:t xml:space="preserve"> appreciation increases as </w:t>
      </w:r>
      <w:r w:rsidR="00A9063C" w:rsidRPr="00743C0A">
        <w:rPr>
          <w:szCs w:val="22"/>
        </w:rPr>
        <w:t>expenditure on</w:t>
      </w:r>
      <w:r w:rsidRPr="00743C0A">
        <w:rPr>
          <w:szCs w:val="22"/>
        </w:rPr>
        <w:t xml:space="preserve"> communication of the past </w:t>
      </w:r>
      <w:r w:rsidR="00DA3A52" w:rsidRPr="00743C0A">
        <w:rPr>
          <w:szCs w:val="22"/>
        </w:rPr>
        <w:t>programming period</w:t>
      </w:r>
      <w:r w:rsidRPr="00743C0A">
        <w:rPr>
          <w:szCs w:val="22"/>
        </w:rPr>
        <w:t xml:space="preserve"> increases. However, this effect is </w:t>
      </w:r>
      <w:r w:rsidR="00A9063C" w:rsidRPr="00743C0A">
        <w:rPr>
          <w:szCs w:val="22"/>
        </w:rPr>
        <w:t xml:space="preserve">weak </w:t>
      </w:r>
      <w:r w:rsidRPr="00743C0A">
        <w:rPr>
          <w:szCs w:val="22"/>
        </w:rPr>
        <w:t xml:space="preserve">and not significant. Communication </w:t>
      </w:r>
      <w:r w:rsidR="00A9063C" w:rsidRPr="00743C0A">
        <w:rPr>
          <w:szCs w:val="22"/>
        </w:rPr>
        <w:t>expenditure for</w:t>
      </w:r>
      <w:r w:rsidRPr="00743C0A">
        <w:rPr>
          <w:szCs w:val="22"/>
        </w:rPr>
        <w:t xml:space="preserve"> the current programming period seem</w:t>
      </w:r>
      <w:r w:rsidR="00A9063C" w:rsidRPr="00743C0A">
        <w:rPr>
          <w:szCs w:val="22"/>
        </w:rPr>
        <w:t>s</w:t>
      </w:r>
      <w:r w:rsidRPr="00743C0A">
        <w:rPr>
          <w:szCs w:val="22"/>
        </w:rPr>
        <w:t xml:space="preserve"> to have a negative effect on appreciation</w:t>
      </w:r>
      <w:r w:rsidRPr="00743C0A">
        <w:rPr>
          <w:rStyle w:val="FootnoteReference"/>
          <w:sz w:val="22"/>
          <w:szCs w:val="22"/>
        </w:rPr>
        <w:footnoteReference w:id="2"/>
      </w:r>
      <w:r w:rsidRPr="00743C0A">
        <w:rPr>
          <w:szCs w:val="22"/>
        </w:rPr>
        <w:t>.</w:t>
      </w:r>
    </w:p>
    <w:p w:rsidR="008C4CFF" w:rsidRPr="00743C0A" w:rsidRDefault="008C4CFF" w:rsidP="00F1564E">
      <w:pPr>
        <w:rPr>
          <w:szCs w:val="22"/>
        </w:rPr>
      </w:pPr>
    </w:p>
    <w:p w:rsidR="008C4CFF" w:rsidRPr="00743C0A" w:rsidRDefault="008C4CFF" w:rsidP="00F1564E">
      <w:pPr>
        <w:rPr>
          <w:i/>
          <w:iCs/>
          <w:szCs w:val="22"/>
        </w:rPr>
      </w:pPr>
      <w:r w:rsidRPr="00743C0A">
        <w:rPr>
          <w:i/>
          <w:iCs/>
          <w:szCs w:val="22"/>
        </w:rPr>
        <w:t xml:space="preserve">This situation calls for </w:t>
      </w:r>
      <w:r w:rsidR="00A9063C" w:rsidRPr="00743C0A">
        <w:rPr>
          <w:i/>
          <w:iCs/>
          <w:szCs w:val="22"/>
        </w:rPr>
        <w:t xml:space="preserve">an </w:t>
      </w:r>
      <w:r w:rsidRPr="00743C0A">
        <w:rPr>
          <w:i/>
          <w:iCs/>
          <w:szCs w:val="22"/>
        </w:rPr>
        <w:t xml:space="preserve">assessment of changes in the design and administration </w:t>
      </w:r>
      <w:r w:rsidR="00DA3A52" w:rsidRPr="00743C0A">
        <w:rPr>
          <w:i/>
          <w:iCs/>
          <w:szCs w:val="22"/>
        </w:rPr>
        <w:t>of communication</w:t>
      </w:r>
      <w:r w:rsidRPr="00743C0A">
        <w:rPr>
          <w:i/>
          <w:iCs/>
          <w:szCs w:val="22"/>
        </w:rPr>
        <w:t xml:space="preserve"> strategies in the </w:t>
      </w:r>
      <w:r w:rsidR="00A9063C" w:rsidRPr="00743C0A">
        <w:rPr>
          <w:i/>
          <w:iCs/>
          <w:szCs w:val="22"/>
        </w:rPr>
        <w:t xml:space="preserve">move from the 2007-2013 </w:t>
      </w:r>
      <w:r w:rsidRPr="00743C0A">
        <w:rPr>
          <w:i/>
          <w:iCs/>
          <w:szCs w:val="22"/>
        </w:rPr>
        <w:t>programming period to 2014-2020. This has to be taken into account for the coming programming period.</w:t>
      </w:r>
    </w:p>
    <w:p w:rsidR="008C4CFF" w:rsidRPr="00743C0A" w:rsidRDefault="008C4CFF" w:rsidP="00F1564E">
      <w:pPr>
        <w:rPr>
          <w:i/>
          <w:iCs/>
          <w:szCs w:val="22"/>
        </w:rPr>
      </w:pPr>
    </w:p>
    <w:p w:rsidR="008C4CFF" w:rsidRPr="00743C0A" w:rsidRDefault="008C4CFF" w:rsidP="00F1564E">
      <w:pPr>
        <w:rPr>
          <w:szCs w:val="22"/>
        </w:rPr>
      </w:pPr>
      <w:r w:rsidRPr="00743C0A">
        <w:rPr>
          <w:i/>
          <w:iCs/>
          <w:szCs w:val="22"/>
        </w:rPr>
        <w:t xml:space="preserve">The more citizens identify with Europe, the more they appreciate EU policies. Specifically, identification based on a common flag and passport, a common history and culture, a common  currency and the right to work and live in any European country, correlates with </w:t>
      </w:r>
      <w:r w:rsidR="00A9063C" w:rsidRPr="00743C0A">
        <w:rPr>
          <w:i/>
          <w:iCs/>
          <w:szCs w:val="22"/>
        </w:rPr>
        <w:t xml:space="preserve">an </w:t>
      </w:r>
      <w:r w:rsidRPr="00743C0A">
        <w:rPr>
          <w:i/>
          <w:iCs/>
          <w:szCs w:val="22"/>
        </w:rPr>
        <w:t>increase of  appreciation.</w:t>
      </w:r>
    </w:p>
    <w:p w:rsidR="008C4CFF" w:rsidRPr="00743C0A" w:rsidRDefault="008C4CFF" w:rsidP="00F1564E">
      <w:pPr>
        <w:rPr>
          <w:szCs w:val="22"/>
        </w:rPr>
      </w:pPr>
    </w:p>
    <w:p w:rsidR="008C4CFF" w:rsidRPr="00743C0A" w:rsidRDefault="008C4CFF" w:rsidP="00F1564E">
      <w:pPr>
        <w:rPr>
          <w:szCs w:val="22"/>
        </w:rPr>
      </w:pPr>
      <w:r w:rsidRPr="00743C0A">
        <w:rPr>
          <w:b/>
          <w:bCs/>
          <w:szCs w:val="22"/>
        </w:rPr>
        <w:t>Main lines for improved communication</w:t>
      </w:r>
      <w:r w:rsidRPr="00743C0A">
        <w:rPr>
          <w:rStyle w:val="FootnoteReference"/>
          <w:bCs/>
          <w:sz w:val="22"/>
          <w:szCs w:val="22"/>
        </w:rPr>
        <w:footnoteReference w:id="3"/>
      </w:r>
    </w:p>
    <w:p w:rsidR="008C4CFF" w:rsidRPr="00743C0A" w:rsidRDefault="008C4CFF" w:rsidP="00F1564E">
      <w:pPr>
        <w:rPr>
          <w:szCs w:val="22"/>
        </w:rPr>
      </w:pPr>
    </w:p>
    <w:p w:rsidR="008C4CFF" w:rsidRPr="00743C0A" w:rsidRDefault="008C4CFF" w:rsidP="00F1564E">
      <w:pPr>
        <w:rPr>
          <w:szCs w:val="22"/>
        </w:rPr>
      </w:pPr>
      <w:r w:rsidRPr="00743C0A">
        <w:rPr>
          <w:szCs w:val="22"/>
        </w:rPr>
        <w:t>Citizen</w:t>
      </w:r>
      <w:r w:rsidR="00A9063C" w:rsidRPr="00743C0A">
        <w:rPr>
          <w:szCs w:val="22"/>
        </w:rPr>
        <w:t>s'</w:t>
      </w:r>
      <w:r w:rsidRPr="00743C0A">
        <w:rPr>
          <w:szCs w:val="22"/>
        </w:rPr>
        <w:t xml:space="preserve"> awareness and perceived effectiveness of </w:t>
      </w:r>
      <w:r w:rsidR="00A9063C" w:rsidRPr="00743C0A">
        <w:rPr>
          <w:szCs w:val="22"/>
        </w:rPr>
        <w:t>c</w:t>
      </w:r>
      <w:r w:rsidRPr="00743C0A">
        <w:rPr>
          <w:szCs w:val="22"/>
        </w:rPr>
        <w:t xml:space="preserve">ohesion </w:t>
      </w:r>
      <w:r w:rsidR="00A9063C" w:rsidRPr="00743C0A">
        <w:rPr>
          <w:szCs w:val="22"/>
        </w:rPr>
        <w:t>p</w:t>
      </w:r>
      <w:r w:rsidRPr="00743C0A">
        <w:rPr>
          <w:szCs w:val="22"/>
        </w:rPr>
        <w:t xml:space="preserve">olicy are determined by media exposure and communication of EU funding. </w:t>
      </w:r>
      <w:r w:rsidRPr="00743C0A">
        <w:rPr>
          <w:i/>
          <w:iCs/>
          <w:szCs w:val="22"/>
        </w:rPr>
        <w:t>The focus should fall on regional and local news, as they are generally more positive towards the EU than national news.</w:t>
      </w:r>
    </w:p>
    <w:p w:rsidR="008C4CFF" w:rsidRPr="00743C0A" w:rsidRDefault="008C4CFF" w:rsidP="00F1564E">
      <w:pPr>
        <w:rPr>
          <w:szCs w:val="22"/>
        </w:rPr>
      </w:pPr>
    </w:p>
    <w:p w:rsidR="008C4CFF" w:rsidRPr="00743C0A" w:rsidRDefault="008C4CFF" w:rsidP="00F1564E">
      <w:pPr>
        <w:rPr>
          <w:i/>
          <w:iCs/>
          <w:szCs w:val="22"/>
        </w:rPr>
      </w:pPr>
      <w:r w:rsidRPr="00743C0A">
        <w:rPr>
          <w:szCs w:val="22"/>
        </w:rPr>
        <w:t xml:space="preserve">Significant territorial differences in attitudes to and identification with the EU between and within countries means that both the </w:t>
      </w:r>
      <w:r w:rsidRPr="00743C0A">
        <w:rPr>
          <w:i/>
          <w:iCs/>
          <w:szCs w:val="22"/>
        </w:rPr>
        <w:t>use of EU funding and its communication need to be regionally differentiated.</w:t>
      </w:r>
    </w:p>
    <w:p w:rsidR="008C4CFF" w:rsidRPr="00743C0A" w:rsidRDefault="008C4CFF" w:rsidP="00F1564E">
      <w:pPr>
        <w:rPr>
          <w:szCs w:val="22"/>
        </w:rPr>
      </w:pPr>
    </w:p>
    <w:p w:rsidR="008C4CFF" w:rsidRPr="00743C0A" w:rsidRDefault="008C4CFF" w:rsidP="00F1564E">
      <w:pPr>
        <w:rPr>
          <w:szCs w:val="22"/>
        </w:rPr>
      </w:pPr>
      <w:r w:rsidRPr="00743C0A">
        <w:rPr>
          <w:szCs w:val="22"/>
        </w:rPr>
        <w:t xml:space="preserve">Communication strategies are improving but are failing to rise to the challenge. There should be </w:t>
      </w:r>
      <w:r w:rsidR="00A9063C" w:rsidRPr="00743C0A">
        <w:rPr>
          <w:szCs w:val="22"/>
        </w:rPr>
        <w:t xml:space="preserve">a </w:t>
      </w:r>
      <w:r w:rsidRPr="00743C0A">
        <w:rPr>
          <w:szCs w:val="22"/>
        </w:rPr>
        <w:t>require</w:t>
      </w:r>
      <w:r w:rsidR="00A9063C" w:rsidRPr="00743C0A">
        <w:rPr>
          <w:szCs w:val="22"/>
        </w:rPr>
        <w:t>ment for</w:t>
      </w:r>
      <w:r w:rsidRPr="00743C0A">
        <w:rPr>
          <w:szCs w:val="22"/>
        </w:rPr>
        <w:t xml:space="preserve"> a </w:t>
      </w:r>
      <w:r w:rsidRPr="00743C0A">
        <w:rPr>
          <w:i/>
          <w:iCs/>
          <w:szCs w:val="22"/>
        </w:rPr>
        <w:t>focus on citizens and their daily lives, on clarity in presenting EU funding, sophistication of methods, effective use of both traditional and social media and local differentiation.</w:t>
      </w:r>
    </w:p>
    <w:p w:rsidR="008C4CFF" w:rsidRPr="00743C0A" w:rsidRDefault="008C4CFF" w:rsidP="00F1564E">
      <w:pPr>
        <w:rPr>
          <w:szCs w:val="22"/>
        </w:rPr>
      </w:pPr>
    </w:p>
    <w:p w:rsidR="008C4CFF" w:rsidRPr="00743C0A" w:rsidRDefault="008C4CFF" w:rsidP="00F1564E">
      <w:pPr>
        <w:rPr>
          <w:szCs w:val="22"/>
        </w:rPr>
      </w:pPr>
      <w:r w:rsidRPr="00743C0A">
        <w:rPr>
          <w:szCs w:val="22"/>
        </w:rPr>
        <w:t xml:space="preserve">The role of communication in programming and implementation should be </w:t>
      </w:r>
      <w:r w:rsidRPr="00743C0A">
        <w:rPr>
          <w:i/>
          <w:iCs/>
          <w:szCs w:val="22"/>
        </w:rPr>
        <w:t>upgraded to connect more directly with citizens and increase their appreciation of the EU.</w:t>
      </w:r>
    </w:p>
    <w:p w:rsidR="00F53598" w:rsidRPr="00743C0A" w:rsidRDefault="00F53598" w:rsidP="00F1564E">
      <w:pPr>
        <w:rPr>
          <w:szCs w:val="22"/>
        </w:rPr>
      </w:pPr>
    </w:p>
    <w:p w:rsidR="00835FD3" w:rsidRPr="00743C0A" w:rsidRDefault="00835FD3" w:rsidP="00F1564E">
      <w:pPr>
        <w:keepNext/>
        <w:rPr>
          <w:b/>
          <w:szCs w:val="22"/>
        </w:rPr>
      </w:pPr>
      <w:r w:rsidRPr="00743C0A">
        <w:rPr>
          <w:b/>
          <w:szCs w:val="22"/>
        </w:rPr>
        <w:t>The following questions will guide the content of the opinion:</w:t>
      </w:r>
    </w:p>
    <w:p w:rsidR="00835FD3" w:rsidRPr="00743C0A" w:rsidRDefault="00835FD3" w:rsidP="00F1564E">
      <w:pPr>
        <w:keepNext/>
        <w:rPr>
          <w:b/>
          <w:szCs w:val="22"/>
        </w:rPr>
      </w:pPr>
    </w:p>
    <w:p w:rsidR="00835FD3" w:rsidRPr="00743C0A" w:rsidRDefault="00835FD3" w:rsidP="00F1564E">
      <w:pPr>
        <w:rPr>
          <w:i/>
          <w:iCs/>
          <w:szCs w:val="22"/>
        </w:rPr>
      </w:pPr>
      <w:r w:rsidRPr="00743C0A">
        <w:rPr>
          <w:b/>
          <w:i/>
          <w:szCs w:val="22"/>
        </w:rPr>
        <w:t>Question</w:t>
      </w:r>
      <w:r w:rsidRPr="00743C0A">
        <w:rPr>
          <w:b/>
          <w:szCs w:val="22"/>
        </w:rPr>
        <w:t> </w:t>
      </w:r>
      <w:r w:rsidRPr="00743C0A">
        <w:rPr>
          <w:b/>
          <w:i/>
          <w:szCs w:val="22"/>
        </w:rPr>
        <w:t>1</w:t>
      </w:r>
      <w:r w:rsidRPr="00743C0A">
        <w:rPr>
          <w:i/>
          <w:szCs w:val="22"/>
        </w:rPr>
        <w:t xml:space="preserve"> </w:t>
      </w:r>
      <w:r w:rsidRPr="00743C0A">
        <w:rPr>
          <w:szCs w:val="22"/>
        </w:rPr>
        <w:t xml:space="preserve">– </w:t>
      </w:r>
      <w:r w:rsidR="000454AB" w:rsidRPr="00743C0A">
        <w:rPr>
          <w:i/>
          <w:szCs w:val="22"/>
        </w:rPr>
        <w:t>A</w:t>
      </w:r>
      <w:r w:rsidR="000454AB" w:rsidRPr="00743C0A">
        <w:rPr>
          <w:i/>
          <w:iCs/>
          <w:szCs w:val="22"/>
        </w:rPr>
        <w:t xml:space="preserve">re the communication activities co-funded by </w:t>
      </w:r>
      <w:r w:rsidRPr="00743C0A">
        <w:rPr>
          <w:i/>
          <w:iCs/>
          <w:szCs w:val="22"/>
        </w:rPr>
        <w:t xml:space="preserve">cohesion policy supposed to be framed at regional </w:t>
      </w:r>
      <w:r w:rsidR="000454AB" w:rsidRPr="00743C0A">
        <w:rPr>
          <w:i/>
          <w:iCs/>
          <w:szCs w:val="22"/>
        </w:rPr>
        <w:t xml:space="preserve">and local </w:t>
      </w:r>
      <w:r w:rsidRPr="00743C0A">
        <w:rPr>
          <w:i/>
          <w:iCs/>
          <w:szCs w:val="22"/>
        </w:rPr>
        <w:t>level?</w:t>
      </w:r>
    </w:p>
    <w:p w:rsidR="00835FD3" w:rsidRPr="00743C0A" w:rsidRDefault="00835FD3" w:rsidP="00F1564E">
      <w:pPr>
        <w:rPr>
          <w:i/>
          <w:iCs/>
          <w:szCs w:val="22"/>
        </w:rPr>
      </w:pPr>
    </w:p>
    <w:p w:rsidR="00835FD3" w:rsidRPr="00743C0A" w:rsidRDefault="00835FD3" w:rsidP="00F1564E">
      <w:pPr>
        <w:rPr>
          <w:i/>
          <w:iCs/>
          <w:szCs w:val="22"/>
        </w:rPr>
      </w:pPr>
      <w:r w:rsidRPr="00743C0A">
        <w:rPr>
          <w:b/>
          <w:i/>
          <w:iCs/>
          <w:szCs w:val="22"/>
        </w:rPr>
        <w:t>Quest</w:t>
      </w:r>
      <w:r w:rsidR="00A9063C" w:rsidRPr="00743C0A">
        <w:rPr>
          <w:b/>
          <w:i/>
          <w:iCs/>
          <w:szCs w:val="22"/>
        </w:rPr>
        <w:t>i</w:t>
      </w:r>
      <w:r w:rsidRPr="00743C0A">
        <w:rPr>
          <w:b/>
          <w:i/>
          <w:iCs/>
          <w:szCs w:val="22"/>
        </w:rPr>
        <w:t>on 2</w:t>
      </w:r>
      <w:r w:rsidRPr="00743C0A">
        <w:rPr>
          <w:i/>
          <w:iCs/>
          <w:szCs w:val="22"/>
        </w:rPr>
        <w:t xml:space="preserve"> – Is political involvement, including voting in the European elections, a prerequisite for awareness of cohesion policy?</w:t>
      </w:r>
    </w:p>
    <w:p w:rsidR="00835FD3" w:rsidRPr="00743C0A" w:rsidRDefault="00835FD3" w:rsidP="00F1564E">
      <w:pPr>
        <w:rPr>
          <w:i/>
          <w:iCs/>
          <w:szCs w:val="22"/>
        </w:rPr>
      </w:pPr>
    </w:p>
    <w:p w:rsidR="00835FD3" w:rsidRPr="00743C0A" w:rsidRDefault="00835FD3" w:rsidP="00F1564E">
      <w:pPr>
        <w:rPr>
          <w:b/>
          <w:szCs w:val="22"/>
        </w:rPr>
      </w:pPr>
      <w:r w:rsidRPr="00743C0A">
        <w:rPr>
          <w:b/>
          <w:i/>
          <w:iCs/>
          <w:szCs w:val="22"/>
        </w:rPr>
        <w:t>Question 3</w:t>
      </w:r>
      <w:r w:rsidRPr="00743C0A">
        <w:rPr>
          <w:i/>
          <w:iCs/>
          <w:szCs w:val="22"/>
        </w:rPr>
        <w:t xml:space="preserve"> </w:t>
      </w:r>
      <w:r w:rsidR="000454AB" w:rsidRPr="00743C0A">
        <w:rPr>
          <w:i/>
          <w:iCs/>
          <w:szCs w:val="22"/>
        </w:rPr>
        <w:t>–</w:t>
      </w:r>
      <w:r w:rsidRPr="00743C0A">
        <w:rPr>
          <w:i/>
          <w:iCs/>
          <w:szCs w:val="22"/>
        </w:rPr>
        <w:t xml:space="preserve"> </w:t>
      </w:r>
      <w:r w:rsidR="00A9063C" w:rsidRPr="00743C0A">
        <w:rPr>
          <w:i/>
          <w:iCs/>
          <w:szCs w:val="22"/>
        </w:rPr>
        <w:t xml:space="preserve">Do </w:t>
      </w:r>
      <w:r w:rsidR="000454AB" w:rsidRPr="00743C0A">
        <w:rPr>
          <w:i/>
          <w:iCs/>
          <w:szCs w:val="22"/>
        </w:rPr>
        <w:t xml:space="preserve">regional </w:t>
      </w:r>
      <w:r w:rsidRPr="00743C0A">
        <w:rPr>
          <w:i/>
          <w:iCs/>
          <w:szCs w:val="22"/>
        </w:rPr>
        <w:t>cultural heritage</w:t>
      </w:r>
      <w:r w:rsidR="000454AB" w:rsidRPr="00743C0A">
        <w:rPr>
          <w:i/>
          <w:iCs/>
          <w:szCs w:val="22"/>
        </w:rPr>
        <w:t xml:space="preserve"> and local conditions </w:t>
      </w:r>
      <w:r w:rsidRPr="00743C0A">
        <w:rPr>
          <w:i/>
          <w:iCs/>
          <w:szCs w:val="22"/>
        </w:rPr>
        <w:t>influenc</w:t>
      </w:r>
      <w:r w:rsidR="00A9063C" w:rsidRPr="00743C0A">
        <w:rPr>
          <w:i/>
          <w:iCs/>
          <w:szCs w:val="22"/>
        </w:rPr>
        <w:t>e</w:t>
      </w:r>
      <w:r w:rsidR="000454AB" w:rsidRPr="00743C0A">
        <w:rPr>
          <w:i/>
          <w:iCs/>
          <w:szCs w:val="22"/>
        </w:rPr>
        <w:t xml:space="preserve"> citizens' </w:t>
      </w:r>
      <w:r w:rsidRPr="00743C0A">
        <w:rPr>
          <w:i/>
          <w:iCs/>
          <w:szCs w:val="22"/>
        </w:rPr>
        <w:t>perception of cohesion policy?</w:t>
      </w:r>
    </w:p>
    <w:p w:rsidR="00835FD3" w:rsidRPr="00743C0A" w:rsidRDefault="00835FD3" w:rsidP="00F1564E">
      <w:pPr>
        <w:rPr>
          <w:b/>
          <w:szCs w:val="22"/>
        </w:rPr>
      </w:pPr>
    </w:p>
    <w:p w:rsidR="00835FD3" w:rsidRPr="00743C0A" w:rsidRDefault="00835FD3" w:rsidP="00F1564E">
      <w:pPr>
        <w:rPr>
          <w:i/>
          <w:iCs/>
          <w:szCs w:val="22"/>
        </w:rPr>
      </w:pPr>
      <w:r w:rsidRPr="00743C0A">
        <w:rPr>
          <w:b/>
          <w:i/>
          <w:szCs w:val="22"/>
        </w:rPr>
        <w:lastRenderedPageBreak/>
        <w:t>Question 4</w:t>
      </w:r>
      <w:r w:rsidRPr="00743C0A">
        <w:rPr>
          <w:szCs w:val="22"/>
        </w:rPr>
        <w:t xml:space="preserve"> – </w:t>
      </w:r>
      <w:r w:rsidRPr="00743C0A">
        <w:rPr>
          <w:i/>
          <w:szCs w:val="22"/>
        </w:rPr>
        <w:t>What has been the impact of the current</w:t>
      </w:r>
      <w:r w:rsidR="000454AB" w:rsidRPr="00743C0A">
        <w:rPr>
          <w:i/>
          <w:szCs w:val="22"/>
        </w:rPr>
        <w:t xml:space="preserve"> seven action communication campaign</w:t>
      </w:r>
      <w:r w:rsidR="00A9063C" w:rsidRPr="00743C0A">
        <w:rPr>
          <w:i/>
          <w:szCs w:val="22"/>
        </w:rPr>
        <w:t>s</w:t>
      </w:r>
      <w:r w:rsidR="000454AB" w:rsidRPr="00743C0A">
        <w:rPr>
          <w:i/>
          <w:szCs w:val="22"/>
        </w:rPr>
        <w:t xml:space="preserve"> implemented by the European Commission?</w:t>
      </w:r>
    </w:p>
    <w:p w:rsidR="00835FD3" w:rsidRPr="00743C0A" w:rsidRDefault="00835FD3" w:rsidP="00F1564E">
      <w:pPr>
        <w:rPr>
          <w:i/>
          <w:iCs/>
          <w:szCs w:val="22"/>
        </w:rPr>
      </w:pPr>
    </w:p>
    <w:p w:rsidR="00835FD3" w:rsidRDefault="00835FD3" w:rsidP="00F1564E">
      <w:pPr>
        <w:rPr>
          <w:i/>
        </w:rPr>
      </w:pPr>
      <w:r w:rsidRPr="00743C0A">
        <w:rPr>
          <w:b/>
          <w:i/>
          <w:iCs/>
          <w:szCs w:val="22"/>
        </w:rPr>
        <w:t>Question 5</w:t>
      </w:r>
      <w:r w:rsidRPr="00743C0A">
        <w:rPr>
          <w:i/>
          <w:iCs/>
          <w:szCs w:val="22"/>
        </w:rPr>
        <w:t xml:space="preserve"> - </w:t>
      </w:r>
      <w:r w:rsidRPr="00743C0A">
        <w:rPr>
          <w:i/>
          <w:szCs w:val="22"/>
        </w:rPr>
        <w:t xml:space="preserve">What opportunities are opened up by the introduction of new </w:t>
      </w:r>
      <w:r w:rsidR="000454AB" w:rsidRPr="00743C0A">
        <w:rPr>
          <w:i/>
          <w:szCs w:val="22"/>
        </w:rPr>
        <w:t>measures</w:t>
      </w:r>
      <w:r w:rsidRPr="00743C0A">
        <w:rPr>
          <w:i/>
          <w:szCs w:val="22"/>
        </w:rPr>
        <w:t xml:space="preserve"> on communication, visibility and transparency within the future </w:t>
      </w:r>
      <w:r w:rsidR="00A9063C" w:rsidRPr="00743C0A">
        <w:rPr>
          <w:i/>
          <w:szCs w:val="22"/>
        </w:rPr>
        <w:t>c</w:t>
      </w:r>
      <w:r w:rsidRPr="00743C0A">
        <w:rPr>
          <w:i/>
          <w:szCs w:val="22"/>
        </w:rPr>
        <w:t>ohesion policy beyond 2020?</w:t>
      </w:r>
    </w:p>
    <w:p w:rsidR="00835FD3" w:rsidRDefault="00835FD3" w:rsidP="00F1564E">
      <w:pPr>
        <w:rPr>
          <w:i/>
        </w:rPr>
      </w:pPr>
    </w:p>
    <w:p w:rsidR="00D42E04" w:rsidRPr="007336DD" w:rsidRDefault="00D42E04" w:rsidP="00F1564E">
      <w:pPr>
        <w:ind w:left="360"/>
      </w:pPr>
    </w:p>
    <w:p w:rsidR="00444A98" w:rsidRPr="007336DD" w:rsidRDefault="00444A98" w:rsidP="00F1564E">
      <w:pPr>
        <w:jc w:val="center"/>
      </w:pPr>
      <w:r w:rsidRPr="007336DD">
        <w:t>________</w:t>
      </w:r>
      <w:r w:rsidR="008E06A1">
        <w:t>______</w:t>
      </w:r>
    </w:p>
    <w:p w:rsidR="007E15B5" w:rsidRPr="007336DD" w:rsidRDefault="007E15B5" w:rsidP="00F1564E">
      <w:pPr>
        <w:jc w:val="center"/>
      </w:pPr>
    </w:p>
    <w:sectPr w:rsidR="007E15B5" w:rsidRPr="007336DD" w:rsidSect="00F1564E">
      <w:headerReference w:type="even" r:id="rId21"/>
      <w:headerReference w:type="default" r:id="rId22"/>
      <w:footerReference w:type="even" r:id="rId23"/>
      <w:footerReference w:type="default" r:id="rId24"/>
      <w:headerReference w:type="first" r:id="rId25"/>
      <w:footerReference w:type="first" r:id="rId26"/>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717" w:rsidRDefault="00DE3717">
      <w:r>
        <w:separator/>
      </w:r>
    </w:p>
  </w:endnote>
  <w:endnote w:type="continuationSeparator" w:id="0">
    <w:p w:rsidR="00DE3717" w:rsidRDefault="00DE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4E" w:rsidRPr="00F1564E" w:rsidRDefault="00F1564E" w:rsidP="00F156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8CA" w:rsidRPr="00F1564E" w:rsidRDefault="00F1564E" w:rsidP="00F1564E">
    <w:pPr>
      <w:pStyle w:val="Footer"/>
    </w:pPr>
    <w:r>
      <w:t xml:space="preserve">COR-2019-00645-00-00-DT-TRA (EN) </w:t>
    </w:r>
    <w:r>
      <w:fldChar w:fldCharType="begin"/>
    </w:r>
    <w:r>
      <w:instrText xml:space="preserve"> PAGE  \* Arabic  \* MERGEFORMAT </w:instrText>
    </w:r>
    <w:r>
      <w:fldChar w:fldCharType="separate"/>
    </w:r>
    <w:r w:rsidR="00BE505C">
      <w:rPr>
        <w:noProof/>
      </w:rPr>
      <w:t>1</w:t>
    </w:r>
    <w:r>
      <w:fldChar w:fldCharType="end"/>
    </w:r>
    <w:r>
      <w:t>/</w:t>
    </w:r>
    <w:r>
      <w:fldChar w:fldCharType="begin"/>
    </w:r>
    <w:r>
      <w:instrText xml:space="preserve"> NUMPAGES </w:instrText>
    </w:r>
    <w:r>
      <w:fldChar w:fldCharType="separate"/>
    </w:r>
    <w:r w:rsidR="00BE505C">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3A4" w:rsidRPr="00F1564E" w:rsidRDefault="001B33A4" w:rsidP="00F156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4E" w:rsidRPr="00F1564E" w:rsidRDefault="00F1564E" w:rsidP="00F1564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4E" w:rsidRPr="00F1564E" w:rsidRDefault="00F1564E" w:rsidP="00F1564E">
    <w:pPr>
      <w:pStyle w:val="Footer"/>
    </w:pPr>
    <w:r>
      <w:t xml:space="preserve">COR-2019-00645-00-00-DT-TRA (EN) </w:t>
    </w:r>
    <w:r>
      <w:fldChar w:fldCharType="begin"/>
    </w:r>
    <w:r>
      <w:instrText xml:space="preserve"> PAGE  \* Arabic  \* MERGEFORMAT </w:instrText>
    </w:r>
    <w:r>
      <w:fldChar w:fldCharType="separate"/>
    </w:r>
    <w:r w:rsidR="00BE505C">
      <w:rPr>
        <w:noProof/>
      </w:rPr>
      <w:t>6</w:t>
    </w:r>
    <w:r>
      <w:fldChar w:fldCharType="end"/>
    </w:r>
    <w:r>
      <w:t>/</w:t>
    </w:r>
    <w:r>
      <w:fldChar w:fldCharType="begin"/>
    </w:r>
    <w:r>
      <w:instrText xml:space="preserve"> NUMPAGES </w:instrText>
    </w:r>
    <w:r>
      <w:fldChar w:fldCharType="separate"/>
    </w:r>
    <w:r w:rsidR="00BE505C">
      <w:rPr>
        <w:noProof/>
      </w:rPr>
      <w:t>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4E" w:rsidRPr="00F1564E" w:rsidRDefault="00F1564E" w:rsidP="00F15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717" w:rsidRDefault="00DE3717">
      <w:r>
        <w:separator/>
      </w:r>
    </w:p>
  </w:footnote>
  <w:footnote w:type="continuationSeparator" w:id="0">
    <w:p w:rsidR="00DE3717" w:rsidRDefault="00DE3717">
      <w:r>
        <w:continuationSeparator/>
      </w:r>
    </w:p>
  </w:footnote>
  <w:footnote w:id="1">
    <w:p w:rsidR="008C4CFF" w:rsidRPr="008C4CFF" w:rsidRDefault="008C4CFF" w:rsidP="008C4CFF">
      <w:pPr>
        <w:pStyle w:val="FootnoteText"/>
        <w:ind w:left="709" w:hanging="709"/>
        <w:rPr>
          <w:lang w:val="ro-RO"/>
        </w:rPr>
      </w:pPr>
      <w:r>
        <w:rPr>
          <w:rStyle w:val="FootnoteReference"/>
        </w:rPr>
        <w:footnoteRef/>
      </w:r>
      <w:r>
        <w:t xml:space="preserve"> </w:t>
      </w:r>
      <w:r>
        <w:rPr>
          <w:lang w:val="ro-RO"/>
        </w:rPr>
        <w:tab/>
      </w:r>
      <w:r>
        <w:rPr>
          <w:rFonts w:hint="eastAsia"/>
        </w:rPr>
        <w:t>Perception and Evaluation of Regional and Cohesion  Policies by Europeans and Identification  with the Values of Europe</w:t>
      </w:r>
      <w:r>
        <w:rPr>
          <w:lang w:val="ro-RO"/>
        </w:rPr>
        <w:t>,</w:t>
      </w:r>
      <w:r>
        <w:rPr>
          <w:rFonts w:hint="eastAsia"/>
        </w:rPr>
        <w:t xml:space="preserve"> PERCEIVE</w:t>
      </w:r>
      <w:r>
        <w:rPr>
          <w:lang w:val="ro-RO"/>
        </w:rPr>
        <w:t>,</w:t>
      </w:r>
      <w:r>
        <w:rPr>
          <w:rFonts w:hint="eastAsia"/>
        </w:rPr>
        <w:t xml:space="preserve"> GA nr. 693529</w:t>
      </w:r>
      <w:r>
        <w:rPr>
          <w:lang w:val="ro-RO"/>
        </w:rPr>
        <w:t>,</w:t>
      </w:r>
      <w:r>
        <w:rPr>
          <w:rFonts w:hint="eastAsia"/>
        </w:rPr>
        <w:t xml:space="preserve"> D 3.4 ‘Report on the statistical analysis  of communication  efforts’ impact and effectiveness on citizens’  awareness and appreciation of EU-financed projects’</w:t>
      </w:r>
      <w:r>
        <w:rPr>
          <w:lang w:val="ro-RO"/>
        </w:rPr>
        <w:t xml:space="preserve">, </w:t>
      </w:r>
      <w:r>
        <w:rPr>
          <w:rFonts w:hint="eastAsia"/>
        </w:rPr>
        <w:t>LEADING PARTNER: Wirtschaftsuniversität Wien  [WU,  Austria]</w:t>
      </w:r>
    </w:p>
  </w:footnote>
  <w:footnote w:id="2">
    <w:p w:rsidR="008C4CFF" w:rsidRPr="008C4CFF" w:rsidRDefault="008C4CFF">
      <w:pPr>
        <w:pStyle w:val="FootnoteText"/>
        <w:rPr>
          <w:lang w:val="ro-RO"/>
        </w:rPr>
      </w:pPr>
      <w:r>
        <w:rPr>
          <w:rStyle w:val="FootnoteReference"/>
        </w:rPr>
        <w:footnoteRef/>
      </w:r>
      <w:r>
        <w:t xml:space="preserve"> </w:t>
      </w:r>
      <w:r>
        <w:rPr>
          <w:lang w:val="ro-RO"/>
        </w:rPr>
        <w:tab/>
      </w:r>
      <w:r w:rsidR="00DA3A52">
        <w:rPr>
          <w:lang w:val="ro-RO"/>
        </w:rPr>
        <w:t xml:space="preserve">See above </w:t>
      </w:r>
      <w:r w:rsidR="00DA3A52">
        <w:rPr>
          <w:lang w:val="ro-RO"/>
        </w:rPr>
        <w:fldChar w:fldCharType="begin"/>
      </w:r>
      <w:r w:rsidR="00DA3A52">
        <w:rPr>
          <w:lang w:val="ro-RO"/>
        </w:rPr>
        <w:instrText xml:space="preserve"> NOTEREF _Ref3206888 \f \p \h </w:instrText>
      </w:r>
      <w:r w:rsidR="00DA3A52">
        <w:rPr>
          <w:lang w:val="ro-RO"/>
        </w:rPr>
      </w:r>
      <w:r w:rsidR="00DA3A52">
        <w:rPr>
          <w:lang w:val="ro-RO"/>
        </w:rPr>
        <w:fldChar w:fldCharType="separate"/>
      </w:r>
      <w:r w:rsidR="00DA3A52" w:rsidRPr="00DA3A52">
        <w:rPr>
          <w:rStyle w:val="FootnoteReference"/>
        </w:rPr>
        <w:t>1</w:t>
      </w:r>
      <w:r w:rsidR="00DA3A52">
        <w:rPr>
          <w:lang w:val="ro-RO"/>
        </w:rPr>
        <w:fldChar w:fldCharType="end"/>
      </w:r>
    </w:p>
  </w:footnote>
  <w:footnote w:id="3">
    <w:p w:rsidR="008C4CFF" w:rsidRPr="008C4CFF" w:rsidRDefault="008C4CFF" w:rsidP="008C4CFF">
      <w:pPr>
        <w:pStyle w:val="FootnoteText"/>
      </w:pPr>
      <w:r>
        <w:rPr>
          <w:rStyle w:val="FootnoteReference"/>
        </w:rPr>
        <w:footnoteRef/>
      </w:r>
      <w:r>
        <w:t xml:space="preserve"> </w:t>
      </w:r>
      <w:r>
        <w:tab/>
        <w:t>COHESIFY. POLICY BRIEF: The Impact of EU Cohesion Policy on European Identification Conclusions &amp; recommendations to increase the impact of Cohesion Policy communication on citizen awareness &amp; appreciation</w:t>
      </w:r>
      <w:r>
        <w:rPr>
          <w:lang w:val="ro-RO"/>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4E" w:rsidRPr="00F1564E" w:rsidRDefault="00F1564E" w:rsidP="00F156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4E" w:rsidRPr="00F1564E" w:rsidRDefault="00F1564E" w:rsidP="00F156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4E" w:rsidRPr="00F1564E" w:rsidRDefault="00F1564E" w:rsidP="00F156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4E" w:rsidRPr="00F1564E" w:rsidRDefault="00F1564E" w:rsidP="00F1564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4E" w:rsidRPr="00F1564E" w:rsidRDefault="00F1564E" w:rsidP="00F1564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4E" w:rsidRPr="00F1564E" w:rsidRDefault="00F1564E" w:rsidP="00F156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020B1F2A"/>
    <w:multiLevelType w:val="hybridMultilevel"/>
    <w:tmpl w:val="ACD62616"/>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244D1B"/>
    <w:multiLevelType w:val="hybridMultilevel"/>
    <w:tmpl w:val="99FA7D9A"/>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E5540AF"/>
    <w:multiLevelType w:val="hybridMultilevel"/>
    <w:tmpl w:val="A16EA71C"/>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5D6075"/>
    <w:multiLevelType w:val="hybridMultilevel"/>
    <w:tmpl w:val="F2A4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8733136"/>
    <w:multiLevelType w:val="hybridMultilevel"/>
    <w:tmpl w:val="31CCE8D4"/>
    <w:lvl w:ilvl="0" w:tplc="AE045BEA">
      <w:start w:val="1"/>
      <w:numFmt w:val="bullet"/>
      <w:lvlText w:val="-"/>
      <w:lvlJc w:val="left"/>
      <w:pPr>
        <w:ind w:left="1440" w:hanging="360"/>
      </w:pPr>
      <w:rPr>
        <w:rFonts w:ascii="Symbol" w:hAnsi="Symbol" w:hint="default"/>
        <w:b w:val="0"/>
        <w:i w:val="0"/>
        <w:sz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822F45"/>
    <w:multiLevelType w:val="singleLevel"/>
    <w:tmpl w:val="5C822F45"/>
    <w:lvl w:ilvl="0">
      <w:start w:val="1"/>
      <w:numFmt w:val="bullet"/>
      <w:lvlText w:val=""/>
      <w:lvlJc w:val="left"/>
      <w:pPr>
        <w:tabs>
          <w:tab w:val="left" w:pos="420"/>
        </w:tabs>
        <w:ind w:left="420" w:hanging="420"/>
      </w:pPr>
      <w:rPr>
        <w:rFonts w:ascii="Wingdings" w:hAnsi="Wingdings" w:hint="default"/>
      </w:rPr>
    </w:lvl>
  </w:abstractNum>
  <w:abstractNum w:abstractNumId="16">
    <w:nsid w:val="64961818"/>
    <w:multiLevelType w:val="hybridMultilevel"/>
    <w:tmpl w:val="980EDEC6"/>
    <w:lvl w:ilvl="0" w:tplc="AE045BEA">
      <w:start w:val="1"/>
      <w:numFmt w:val="bullet"/>
      <w:lvlText w:val="-"/>
      <w:lvlJc w:val="left"/>
      <w:pPr>
        <w:ind w:left="1080" w:hanging="360"/>
      </w:pPr>
      <w:rPr>
        <w:rFonts w:ascii="Symbol" w:hAnsi="Symbol" w:hint="default"/>
        <w:b w:val="0"/>
        <w:i w:val="0"/>
        <w:sz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C257A74"/>
    <w:multiLevelType w:val="multilevel"/>
    <w:tmpl w:val="0D1E87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7"/>
  </w:num>
  <w:num w:numId="3">
    <w:abstractNumId w:val="18"/>
  </w:num>
  <w:num w:numId="4">
    <w:abstractNumId w:val="8"/>
  </w:num>
  <w:num w:numId="5">
    <w:abstractNumId w:val="10"/>
  </w:num>
  <w:num w:numId="6">
    <w:abstractNumId w:val="4"/>
  </w:num>
  <w:num w:numId="7">
    <w:abstractNumId w:val="2"/>
  </w:num>
  <w:num w:numId="8">
    <w:abstractNumId w:val="17"/>
  </w:num>
  <w:num w:numId="9">
    <w:abstractNumId w:val="13"/>
  </w:num>
  <w:num w:numId="10">
    <w:abstractNumId w:val="14"/>
  </w:num>
  <w:num w:numId="11">
    <w:abstractNumId w:val="3"/>
  </w:num>
  <w:num w:numId="12">
    <w:abstractNumId w:val="9"/>
  </w:num>
  <w:num w:numId="13">
    <w:abstractNumId w:val="19"/>
  </w:num>
  <w:num w:numId="14">
    <w:abstractNumId w:val="11"/>
  </w:num>
  <w:num w:numId="15">
    <w:abstractNumId w:val="16"/>
  </w:num>
  <w:num w:numId="16">
    <w:abstractNumId w:val="12"/>
  </w:num>
  <w:num w:numId="17">
    <w:abstractNumId w:val="5"/>
  </w:num>
  <w:num w:numId="18">
    <w:abstractNumId w:val="1"/>
  </w:num>
  <w:num w:numId="19">
    <w:abstractNumId w:val="6"/>
  </w:num>
  <w:num w:numId="20">
    <w:abstractNumId w:val="20"/>
  </w:num>
  <w:num w:numId="2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chi">
    <w15:presenceInfo w15:providerId="None" w15:userId="LAc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hyphenationZone w:val="425"/>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4"/>
    <w:rsid w:val="00011803"/>
    <w:rsid w:val="00020D7F"/>
    <w:rsid w:val="000454AB"/>
    <w:rsid w:val="00057E4A"/>
    <w:rsid w:val="000615B3"/>
    <w:rsid w:val="00067BA8"/>
    <w:rsid w:val="000765F1"/>
    <w:rsid w:val="00083AE8"/>
    <w:rsid w:val="00096379"/>
    <w:rsid w:val="000A5257"/>
    <w:rsid w:val="000B74D3"/>
    <w:rsid w:val="000C3BC1"/>
    <w:rsid w:val="000D6A84"/>
    <w:rsid w:val="000F28C1"/>
    <w:rsid w:val="00101FBB"/>
    <w:rsid w:val="00112E32"/>
    <w:rsid w:val="0012190B"/>
    <w:rsid w:val="00153E61"/>
    <w:rsid w:val="0015645B"/>
    <w:rsid w:val="001B33A4"/>
    <w:rsid w:val="001C5CD8"/>
    <w:rsid w:val="001C66A9"/>
    <w:rsid w:val="001E5620"/>
    <w:rsid w:val="001F1AB8"/>
    <w:rsid w:val="001F2360"/>
    <w:rsid w:val="002033F5"/>
    <w:rsid w:val="002054D0"/>
    <w:rsid w:val="00207811"/>
    <w:rsid w:val="002302F1"/>
    <w:rsid w:val="00254B94"/>
    <w:rsid w:val="0026767E"/>
    <w:rsid w:val="00293319"/>
    <w:rsid w:val="00296024"/>
    <w:rsid w:val="002A67BF"/>
    <w:rsid w:val="002B1E5E"/>
    <w:rsid w:val="002D618D"/>
    <w:rsid w:val="002F03D6"/>
    <w:rsid w:val="00314E57"/>
    <w:rsid w:val="00322488"/>
    <w:rsid w:val="00334D96"/>
    <w:rsid w:val="00355123"/>
    <w:rsid w:val="003563A4"/>
    <w:rsid w:val="00367564"/>
    <w:rsid w:val="00373918"/>
    <w:rsid w:val="00373ED4"/>
    <w:rsid w:val="00383975"/>
    <w:rsid w:val="0039665B"/>
    <w:rsid w:val="003A043C"/>
    <w:rsid w:val="003B0723"/>
    <w:rsid w:val="003B1C77"/>
    <w:rsid w:val="003C0F98"/>
    <w:rsid w:val="003D6681"/>
    <w:rsid w:val="003E420C"/>
    <w:rsid w:val="00406724"/>
    <w:rsid w:val="004336B4"/>
    <w:rsid w:val="00436F44"/>
    <w:rsid w:val="00443AFF"/>
    <w:rsid w:val="00444A98"/>
    <w:rsid w:val="00454AD9"/>
    <w:rsid w:val="00457C9F"/>
    <w:rsid w:val="00475484"/>
    <w:rsid w:val="00496476"/>
    <w:rsid w:val="004A0C7C"/>
    <w:rsid w:val="004A41CF"/>
    <w:rsid w:val="004C17B6"/>
    <w:rsid w:val="004C2145"/>
    <w:rsid w:val="004E605D"/>
    <w:rsid w:val="00540033"/>
    <w:rsid w:val="005728CF"/>
    <w:rsid w:val="00575FC1"/>
    <w:rsid w:val="00583866"/>
    <w:rsid w:val="005918A5"/>
    <w:rsid w:val="00595568"/>
    <w:rsid w:val="005A41BB"/>
    <w:rsid w:val="005A7F8D"/>
    <w:rsid w:val="005B2905"/>
    <w:rsid w:val="005C0E4A"/>
    <w:rsid w:val="005C36CD"/>
    <w:rsid w:val="005C4B78"/>
    <w:rsid w:val="005C4F1C"/>
    <w:rsid w:val="005D0494"/>
    <w:rsid w:val="005D31A6"/>
    <w:rsid w:val="005D7433"/>
    <w:rsid w:val="005E58C7"/>
    <w:rsid w:val="006136A7"/>
    <w:rsid w:val="006178E4"/>
    <w:rsid w:val="00625107"/>
    <w:rsid w:val="00625292"/>
    <w:rsid w:val="006311E4"/>
    <w:rsid w:val="006A4A0A"/>
    <w:rsid w:val="006D0087"/>
    <w:rsid w:val="006D78CA"/>
    <w:rsid w:val="00713ABC"/>
    <w:rsid w:val="00720994"/>
    <w:rsid w:val="007336DD"/>
    <w:rsid w:val="00743C0A"/>
    <w:rsid w:val="00752584"/>
    <w:rsid w:val="0075508D"/>
    <w:rsid w:val="00764C14"/>
    <w:rsid w:val="007842F4"/>
    <w:rsid w:val="00785967"/>
    <w:rsid w:val="007A6D76"/>
    <w:rsid w:val="007B10B2"/>
    <w:rsid w:val="007B2E4D"/>
    <w:rsid w:val="007E15B5"/>
    <w:rsid w:val="007F0079"/>
    <w:rsid w:val="007F68C4"/>
    <w:rsid w:val="00810512"/>
    <w:rsid w:val="00814EF3"/>
    <w:rsid w:val="008224B6"/>
    <w:rsid w:val="00831C6A"/>
    <w:rsid w:val="00835FD3"/>
    <w:rsid w:val="00836424"/>
    <w:rsid w:val="00837FA5"/>
    <w:rsid w:val="00847E17"/>
    <w:rsid w:val="00866F5C"/>
    <w:rsid w:val="008A0A24"/>
    <w:rsid w:val="008C2110"/>
    <w:rsid w:val="008C464B"/>
    <w:rsid w:val="008C4CFF"/>
    <w:rsid w:val="008D3638"/>
    <w:rsid w:val="008D5CBC"/>
    <w:rsid w:val="008E06A1"/>
    <w:rsid w:val="008E34E5"/>
    <w:rsid w:val="008E53E2"/>
    <w:rsid w:val="00913B7D"/>
    <w:rsid w:val="009352AE"/>
    <w:rsid w:val="00973A51"/>
    <w:rsid w:val="00977377"/>
    <w:rsid w:val="009A16C1"/>
    <w:rsid w:val="009A2D50"/>
    <w:rsid w:val="009A6E15"/>
    <w:rsid w:val="009F0B69"/>
    <w:rsid w:val="009F7D37"/>
    <w:rsid w:val="00A012E5"/>
    <w:rsid w:val="00A04B45"/>
    <w:rsid w:val="00A136A7"/>
    <w:rsid w:val="00A402C8"/>
    <w:rsid w:val="00A84676"/>
    <w:rsid w:val="00A851A8"/>
    <w:rsid w:val="00A9063C"/>
    <w:rsid w:val="00A911A9"/>
    <w:rsid w:val="00A91F95"/>
    <w:rsid w:val="00AA77B1"/>
    <w:rsid w:val="00AB0937"/>
    <w:rsid w:val="00AC7B32"/>
    <w:rsid w:val="00AE4401"/>
    <w:rsid w:val="00B33430"/>
    <w:rsid w:val="00B65DB1"/>
    <w:rsid w:val="00BA5C55"/>
    <w:rsid w:val="00BB4B32"/>
    <w:rsid w:val="00BD3C0D"/>
    <w:rsid w:val="00BE061F"/>
    <w:rsid w:val="00BE3E20"/>
    <w:rsid w:val="00BE505C"/>
    <w:rsid w:val="00BF7AE7"/>
    <w:rsid w:val="00C00A9A"/>
    <w:rsid w:val="00C3552F"/>
    <w:rsid w:val="00C50C20"/>
    <w:rsid w:val="00C51A1E"/>
    <w:rsid w:val="00C639CA"/>
    <w:rsid w:val="00C74240"/>
    <w:rsid w:val="00C82639"/>
    <w:rsid w:val="00C92009"/>
    <w:rsid w:val="00CA6B49"/>
    <w:rsid w:val="00CB7BAE"/>
    <w:rsid w:val="00CD138A"/>
    <w:rsid w:val="00CE5929"/>
    <w:rsid w:val="00D00A2B"/>
    <w:rsid w:val="00D42E04"/>
    <w:rsid w:val="00D46F0D"/>
    <w:rsid w:val="00D53D7F"/>
    <w:rsid w:val="00D82389"/>
    <w:rsid w:val="00D92F5E"/>
    <w:rsid w:val="00DA0453"/>
    <w:rsid w:val="00DA085F"/>
    <w:rsid w:val="00DA3A52"/>
    <w:rsid w:val="00DA3DEA"/>
    <w:rsid w:val="00DA410E"/>
    <w:rsid w:val="00DC55CB"/>
    <w:rsid w:val="00DC5E9F"/>
    <w:rsid w:val="00DD66B3"/>
    <w:rsid w:val="00DE3717"/>
    <w:rsid w:val="00DE5160"/>
    <w:rsid w:val="00DE664B"/>
    <w:rsid w:val="00DE7AE0"/>
    <w:rsid w:val="00DF5986"/>
    <w:rsid w:val="00DF7D46"/>
    <w:rsid w:val="00E20CAF"/>
    <w:rsid w:val="00E30D3A"/>
    <w:rsid w:val="00E52232"/>
    <w:rsid w:val="00E5664A"/>
    <w:rsid w:val="00E67837"/>
    <w:rsid w:val="00E72B03"/>
    <w:rsid w:val="00E83AE3"/>
    <w:rsid w:val="00E83E7B"/>
    <w:rsid w:val="00EB3B52"/>
    <w:rsid w:val="00ED266F"/>
    <w:rsid w:val="00EF7AA4"/>
    <w:rsid w:val="00F1564E"/>
    <w:rsid w:val="00F244E4"/>
    <w:rsid w:val="00F31F2F"/>
    <w:rsid w:val="00F40F26"/>
    <w:rsid w:val="00F42EDA"/>
    <w:rsid w:val="00F45402"/>
    <w:rsid w:val="00F53598"/>
    <w:rsid w:val="00F55286"/>
    <w:rsid w:val="00F602A3"/>
    <w:rsid w:val="00F84067"/>
    <w:rsid w:val="00F84BCE"/>
    <w:rsid w:val="00F85741"/>
    <w:rsid w:val="00F90F5A"/>
    <w:rsid w:val="00FA14BE"/>
    <w:rsid w:val="00FA1EEE"/>
    <w:rsid w:val="00FE4B36"/>
    <w:rsid w:val="00FE7B56"/>
    <w:rsid w:val="00FF0233"/>
    <w:rsid w:val="00FF53DC"/>
    <w:rsid w:val="00FF69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17"/>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uiPriority w:val="9"/>
    <w:qFormat/>
    <w:rsid w:val="00847E17"/>
    <w:pPr>
      <w:numPr>
        <w:numId w:val="1"/>
      </w:numPr>
      <w:ind w:left="720" w:hanging="720"/>
      <w:outlineLvl w:val="0"/>
    </w:pPr>
    <w:rPr>
      <w:kern w:val="28"/>
    </w:rPr>
  </w:style>
  <w:style w:type="paragraph" w:styleId="Heading2">
    <w:name w:val="heading 2"/>
    <w:basedOn w:val="Normal"/>
    <w:next w:val="Normal"/>
    <w:link w:val="Heading2Char"/>
    <w:uiPriority w:val="9"/>
    <w:qFormat/>
    <w:rsid w:val="00847E17"/>
    <w:pPr>
      <w:numPr>
        <w:ilvl w:val="1"/>
        <w:numId w:val="1"/>
      </w:numPr>
      <w:ind w:left="720" w:hanging="720"/>
      <w:outlineLvl w:val="1"/>
    </w:pPr>
  </w:style>
  <w:style w:type="paragraph" w:styleId="Heading3">
    <w:name w:val="heading 3"/>
    <w:basedOn w:val="Normal"/>
    <w:next w:val="Normal"/>
    <w:link w:val="Heading3Char"/>
    <w:uiPriority w:val="9"/>
    <w:qFormat/>
    <w:rsid w:val="00847E17"/>
    <w:pPr>
      <w:numPr>
        <w:ilvl w:val="2"/>
        <w:numId w:val="1"/>
      </w:numPr>
      <w:ind w:left="720" w:hanging="720"/>
      <w:outlineLvl w:val="2"/>
    </w:pPr>
  </w:style>
  <w:style w:type="paragraph" w:styleId="Heading4">
    <w:name w:val="heading 4"/>
    <w:basedOn w:val="Normal"/>
    <w:next w:val="Normal"/>
    <w:link w:val="Heading4Char"/>
    <w:uiPriority w:val="9"/>
    <w:qFormat/>
    <w:rsid w:val="00847E17"/>
    <w:pPr>
      <w:numPr>
        <w:ilvl w:val="3"/>
        <w:numId w:val="1"/>
      </w:numPr>
      <w:ind w:left="720" w:hanging="720"/>
      <w:outlineLvl w:val="3"/>
    </w:pPr>
  </w:style>
  <w:style w:type="paragraph" w:styleId="Heading5">
    <w:name w:val="heading 5"/>
    <w:basedOn w:val="Normal"/>
    <w:next w:val="Normal"/>
    <w:link w:val="Heading5Char"/>
    <w:uiPriority w:val="9"/>
    <w:qFormat/>
    <w:rsid w:val="00847E17"/>
    <w:pPr>
      <w:numPr>
        <w:ilvl w:val="4"/>
        <w:numId w:val="1"/>
      </w:numPr>
      <w:ind w:left="720" w:hanging="720"/>
      <w:outlineLvl w:val="4"/>
    </w:pPr>
  </w:style>
  <w:style w:type="paragraph" w:styleId="Heading6">
    <w:name w:val="heading 6"/>
    <w:basedOn w:val="Normal"/>
    <w:next w:val="Normal"/>
    <w:link w:val="Heading6Char"/>
    <w:uiPriority w:val="9"/>
    <w:qFormat/>
    <w:rsid w:val="00847E17"/>
    <w:pPr>
      <w:numPr>
        <w:ilvl w:val="5"/>
        <w:numId w:val="1"/>
      </w:numPr>
      <w:ind w:left="720" w:hanging="720"/>
      <w:outlineLvl w:val="5"/>
    </w:pPr>
  </w:style>
  <w:style w:type="paragraph" w:styleId="Heading7">
    <w:name w:val="heading 7"/>
    <w:basedOn w:val="Normal"/>
    <w:next w:val="Normal"/>
    <w:link w:val="Heading7Char"/>
    <w:uiPriority w:val="9"/>
    <w:qFormat/>
    <w:rsid w:val="00847E17"/>
    <w:pPr>
      <w:numPr>
        <w:ilvl w:val="6"/>
        <w:numId w:val="1"/>
      </w:numPr>
      <w:ind w:left="720" w:hanging="720"/>
      <w:outlineLvl w:val="6"/>
    </w:pPr>
  </w:style>
  <w:style w:type="paragraph" w:styleId="Heading8">
    <w:name w:val="heading 8"/>
    <w:basedOn w:val="Normal"/>
    <w:next w:val="Normal"/>
    <w:link w:val="Heading8Char"/>
    <w:uiPriority w:val="9"/>
    <w:qFormat/>
    <w:rsid w:val="00847E17"/>
    <w:pPr>
      <w:numPr>
        <w:ilvl w:val="7"/>
        <w:numId w:val="1"/>
      </w:numPr>
      <w:ind w:left="720" w:hanging="720"/>
      <w:outlineLvl w:val="7"/>
    </w:pPr>
  </w:style>
  <w:style w:type="paragraph" w:styleId="Heading9">
    <w:name w:val="heading 9"/>
    <w:basedOn w:val="Normal"/>
    <w:next w:val="Normal"/>
    <w:link w:val="Heading9Char"/>
    <w:uiPriority w:val="9"/>
    <w:qFormat/>
    <w:rsid w:val="00847E1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6A8"/>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9D66A8"/>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9D66A8"/>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9D66A8"/>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9D66A8"/>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9D66A8"/>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9D66A8"/>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9D66A8"/>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9D66A8"/>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rsid w:val="00847E17"/>
  </w:style>
  <w:style w:type="character" w:customStyle="1" w:styleId="FooterChar">
    <w:name w:val="Footer Char"/>
    <w:basedOn w:val="DefaultParagraphFont"/>
    <w:link w:val="Footer"/>
    <w:uiPriority w:val="99"/>
    <w:rsid w:val="009D66A8"/>
    <w:rPr>
      <w:sz w:val="22"/>
      <w:lang w:val="en-GB" w:eastAsia="en-US"/>
    </w:rPr>
  </w:style>
  <w:style w:type="paragraph" w:styleId="FootnoteText">
    <w:name w:val="footnote text"/>
    <w:basedOn w:val="Normal"/>
    <w:link w:val="FootnoteTextChar"/>
    <w:uiPriority w:val="99"/>
    <w:rsid w:val="00847E1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9D66A8"/>
    <w:rPr>
      <w:lang w:val="en-GB" w:eastAsia="en-US"/>
    </w:rPr>
  </w:style>
  <w:style w:type="paragraph" w:styleId="Header">
    <w:name w:val="header"/>
    <w:basedOn w:val="Normal"/>
    <w:link w:val="HeaderChar"/>
    <w:uiPriority w:val="99"/>
    <w:rsid w:val="00847E17"/>
  </w:style>
  <w:style w:type="character" w:customStyle="1" w:styleId="HeaderChar">
    <w:name w:val="Header Char"/>
    <w:basedOn w:val="DefaultParagraphFont"/>
    <w:link w:val="Header"/>
    <w:uiPriority w:val="99"/>
    <w:rsid w:val="009D66A8"/>
    <w:rPr>
      <w:sz w:val="22"/>
      <w:lang w:val="en-GB" w:eastAsia="en-US"/>
    </w:rPr>
  </w:style>
  <w:style w:type="paragraph" w:customStyle="1" w:styleId="quotes">
    <w:name w:val="quotes"/>
    <w:basedOn w:val="Normal"/>
    <w:next w:val="Normal"/>
    <w:rsid w:val="00847E17"/>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iPriority w:val="99"/>
    <w:semiHidden/>
    <w:rsid w:val="00847E17"/>
    <w:rPr>
      <w:sz w:val="24"/>
      <w:vertAlign w:val="superscript"/>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D46F0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46F0D"/>
    <w:rPr>
      <w:rFonts w:ascii="Tahoma" w:hAnsi="Tahoma" w:cs="Tahoma"/>
      <w:sz w:val="16"/>
      <w:szCs w:val="16"/>
      <w:lang w:val="en-GB" w:eastAsia="en-US"/>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F602A3"/>
    <w:pPr>
      <w:overflowPunct/>
      <w:autoSpaceDE/>
      <w:autoSpaceDN/>
      <w:adjustRightInd/>
      <w:spacing w:line="360" w:lineRule="auto"/>
      <w:ind w:left="720"/>
      <w:contextualSpacing/>
      <w:jc w:val="left"/>
      <w:textAlignment w:val="auto"/>
    </w:pPr>
    <w:rPr>
      <w:rFonts w:ascii="Calibri" w:eastAsiaTheme="minorHAnsi" w:hAnsi="Calibri" w:cs="Calibri"/>
      <w:szCs w:val="22"/>
      <w:lang w:val="pl-PL"/>
    </w:rPr>
  </w:style>
  <w:style w:type="character" w:styleId="CommentReference">
    <w:name w:val="annotation reference"/>
    <w:basedOn w:val="DefaultParagraphFont"/>
    <w:rsid w:val="00457C9F"/>
    <w:rPr>
      <w:sz w:val="16"/>
      <w:szCs w:val="16"/>
    </w:rPr>
  </w:style>
  <w:style w:type="paragraph" w:styleId="CommentText">
    <w:name w:val="annotation text"/>
    <w:basedOn w:val="Normal"/>
    <w:link w:val="CommentTextChar"/>
    <w:rsid w:val="00457C9F"/>
    <w:pPr>
      <w:spacing w:line="240" w:lineRule="auto"/>
    </w:pPr>
    <w:rPr>
      <w:sz w:val="20"/>
    </w:rPr>
  </w:style>
  <w:style w:type="character" w:customStyle="1" w:styleId="CommentTextChar">
    <w:name w:val="Comment Text Char"/>
    <w:basedOn w:val="DefaultParagraphFont"/>
    <w:link w:val="CommentText"/>
    <w:rsid w:val="00457C9F"/>
    <w:rPr>
      <w:lang w:val="en-GB" w:eastAsia="en-US"/>
    </w:rPr>
  </w:style>
  <w:style w:type="paragraph" w:styleId="CommentSubject">
    <w:name w:val="annotation subject"/>
    <w:basedOn w:val="CommentText"/>
    <w:next w:val="CommentText"/>
    <w:link w:val="CommentSubjectChar"/>
    <w:rsid w:val="00457C9F"/>
    <w:rPr>
      <w:b/>
      <w:bCs/>
    </w:rPr>
  </w:style>
  <w:style w:type="character" w:customStyle="1" w:styleId="CommentSubjectChar">
    <w:name w:val="Comment Subject Char"/>
    <w:basedOn w:val="CommentTextChar"/>
    <w:link w:val="CommentSubject"/>
    <w:rsid w:val="00457C9F"/>
    <w:rPr>
      <w:b/>
      <w:bCs/>
      <w:lang w:val="en-GB" w:eastAsia="en-US"/>
    </w:rPr>
  </w:style>
  <w:style w:type="paragraph" w:customStyle="1" w:styleId="Default">
    <w:name w:val="Default"/>
    <w:basedOn w:val="Normal"/>
    <w:rsid w:val="00835FD3"/>
    <w:pPr>
      <w:overflowPunct/>
      <w:adjustRightInd/>
      <w:spacing w:line="240" w:lineRule="auto"/>
      <w:jc w:val="left"/>
      <w:textAlignment w:val="auto"/>
    </w:pPr>
    <w:rPr>
      <w:rFonts w:eastAsiaTheme="minorHAnsi"/>
      <w:color w:val="000000"/>
      <w:sz w:val="24"/>
      <w:szCs w:val="24"/>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17"/>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uiPriority w:val="9"/>
    <w:qFormat/>
    <w:rsid w:val="00847E17"/>
    <w:pPr>
      <w:numPr>
        <w:numId w:val="1"/>
      </w:numPr>
      <w:ind w:left="720" w:hanging="720"/>
      <w:outlineLvl w:val="0"/>
    </w:pPr>
    <w:rPr>
      <w:kern w:val="28"/>
    </w:rPr>
  </w:style>
  <w:style w:type="paragraph" w:styleId="Heading2">
    <w:name w:val="heading 2"/>
    <w:basedOn w:val="Normal"/>
    <w:next w:val="Normal"/>
    <w:link w:val="Heading2Char"/>
    <w:uiPriority w:val="9"/>
    <w:qFormat/>
    <w:rsid w:val="00847E17"/>
    <w:pPr>
      <w:numPr>
        <w:ilvl w:val="1"/>
        <w:numId w:val="1"/>
      </w:numPr>
      <w:ind w:left="720" w:hanging="720"/>
      <w:outlineLvl w:val="1"/>
    </w:pPr>
  </w:style>
  <w:style w:type="paragraph" w:styleId="Heading3">
    <w:name w:val="heading 3"/>
    <w:basedOn w:val="Normal"/>
    <w:next w:val="Normal"/>
    <w:link w:val="Heading3Char"/>
    <w:uiPriority w:val="9"/>
    <w:qFormat/>
    <w:rsid w:val="00847E17"/>
    <w:pPr>
      <w:numPr>
        <w:ilvl w:val="2"/>
        <w:numId w:val="1"/>
      </w:numPr>
      <w:ind w:left="720" w:hanging="720"/>
      <w:outlineLvl w:val="2"/>
    </w:pPr>
  </w:style>
  <w:style w:type="paragraph" w:styleId="Heading4">
    <w:name w:val="heading 4"/>
    <w:basedOn w:val="Normal"/>
    <w:next w:val="Normal"/>
    <w:link w:val="Heading4Char"/>
    <w:uiPriority w:val="9"/>
    <w:qFormat/>
    <w:rsid w:val="00847E17"/>
    <w:pPr>
      <w:numPr>
        <w:ilvl w:val="3"/>
        <w:numId w:val="1"/>
      </w:numPr>
      <w:ind w:left="720" w:hanging="720"/>
      <w:outlineLvl w:val="3"/>
    </w:pPr>
  </w:style>
  <w:style w:type="paragraph" w:styleId="Heading5">
    <w:name w:val="heading 5"/>
    <w:basedOn w:val="Normal"/>
    <w:next w:val="Normal"/>
    <w:link w:val="Heading5Char"/>
    <w:uiPriority w:val="9"/>
    <w:qFormat/>
    <w:rsid w:val="00847E17"/>
    <w:pPr>
      <w:numPr>
        <w:ilvl w:val="4"/>
        <w:numId w:val="1"/>
      </w:numPr>
      <w:ind w:left="720" w:hanging="720"/>
      <w:outlineLvl w:val="4"/>
    </w:pPr>
  </w:style>
  <w:style w:type="paragraph" w:styleId="Heading6">
    <w:name w:val="heading 6"/>
    <w:basedOn w:val="Normal"/>
    <w:next w:val="Normal"/>
    <w:link w:val="Heading6Char"/>
    <w:uiPriority w:val="9"/>
    <w:qFormat/>
    <w:rsid w:val="00847E17"/>
    <w:pPr>
      <w:numPr>
        <w:ilvl w:val="5"/>
        <w:numId w:val="1"/>
      </w:numPr>
      <w:ind w:left="720" w:hanging="720"/>
      <w:outlineLvl w:val="5"/>
    </w:pPr>
  </w:style>
  <w:style w:type="paragraph" w:styleId="Heading7">
    <w:name w:val="heading 7"/>
    <w:basedOn w:val="Normal"/>
    <w:next w:val="Normal"/>
    <w:link w:val="Heading7Char"/>
    <w:uiPriority w:val="9"/>
    <w:qFormat/>
    <w:rsid w:val="00847E17"/>
    <w:pPr>
      <w:numPr>
        <w:ilvl w:val="6"/>
        <w:numId w:val="1"/>
      </w:numPr>
      <w:ind w:left="720" w:hanging="720"/>
      <w:outlineLvl w:val="6"/>
    </w:pPr>
  </w:style>
  <w:style w:type="paragraph" w:styleId="Heading8">
    <w:name w:val="heading 8"/>
    <w:basedOn w:val="Normal"/>
    <w:next w:val="Normal"/>
    <w:link w:val="Heading8Char"/>
    <w:uiPriority w:val="9"/>
    <w:qFormat/>
    <w:rsid w:val="00847E17"/>
    <w:pPr>
      <w:numPr>
        <w:ilvl w:val="7"/>
        <w:numId w:val="1"/>
      </w:numPr>
      <w:ind w:left="720" w:hanging="720"/>
      <w:outlineLvl w:val="7"/>
    </w:pPr>
  </w:style>
  <w:style w:type="paragraph" w:styleId="Heading9">
    <w:name w:val="heading 9"/>
    <w:basedOn w:val="Normal"/>
    <w:next w:val="Normal"/>
    <w:link w:val="Heading9Char"/>
    <w:uiPriority w:val="9"/>
    <w:qFormat/>
    <w:rsid w:val="00847E1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6A8"/>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9D66A8"/>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9D66A8"/>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9D66A8"/>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9D66A8"/>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9D66A8"/>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9D66A8"/>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9D66A8"/>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9D66A8"/>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rsid w:val="00847E17"/>
  </w:style>
  <w:style w:type="character" w:customStyle="1" w:styleId="FooterChar">
    <w:name w:val="Footer Char"/>
    <w:basedOn w:val="DefaultParagraphFont"/>
    <w:link w:val="Footer"/>
    <w:uiPriority w:val="99"/>
    <w:rsid w:val="009D66A8"/>
    <w:rPr>
      <w:sz w:val="22"/>
      <w:lang w:val="en-GB" w:eastAsia="en-US"/>
    </w:rPr>
  </w:style>
  <w:style w:type="paragraph" w:styleId="FootnoteText">
    <w:name w:val="footnote text"/>
    <w:basedOn w:val="Normal"/>
    <w:link w:val="FootnoteTextChar"/>
    <w:uiPriority w:val="99"/>
    <w:rsid w:val="00847E1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9D66A8"/>
    <w:rPr>
      <w:lang w:val="en-GB" w:eastAsia="en-US"/>
    </w:rPr>
  </w:style>
  <w:style w:type="paragraph" w:styleId="Header">
    <w:name w:val="header"/>
    <w:basedOn w:val="Normal"/>
    <w:link w:val="HeaderChar"/>
    <w:uiPriority w:val="99"/>
    <w:rsid w:val="00847E17"/>
  </w:style>
  <w:style w:type="character" w:customStyle="1" w:styleId="HeaderChar">
    <w:name w:val="Header Char"/>
    <w:basedOn w:val="DefaultParagraphFont"/>
    <w:link w:val="Header"/>
    <w:uiPriority w:val="99"/>
    <w:rsid w:val="009D66A8"/>
    <w:rPr>
      <w:sz w:val="22"/>
      <w:lang w:val="en-GB" w:eastAsia="en-US"/>
    </w:rPr>
  </w:style>
  <w:style w:type="paragraph" w:customStyle="1" w:styleId="quotes">
    <w:name w:val="quotes"/>
    <w:basedOn w:val="Normal"/>
    <w:next w:val="Normal"/>
    <w:rsid w:val="00847E17"/>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iPriority w:val="99"/>
    <w:semiHidden/>
    <w:rsid w:val="00847E17"/>
    <w:rPr>
      <w:sz w:val="24"/>
      <w:vertAlign w:val="superscript"/>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D46F0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46F0D"/>
    <w:rPr>
      <w:rFonts w:ascii="Tahoma" w:hAnsi="Tahoma" w:cs="Tahoma"/>
      <w:sz w:val="16"/>
      <w:szCs w:val="16"/>
      <w:lang w:val="en-GB" w:eastAsia="en-US"/>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F602A3"/>
    <w:pPr>
      <w:overflowPunct/>
      <w:autoSpaceDE/>
      <w:autoSpaceDN/>
      <w:adjustRightInd/>
      <w:spacing w:line="360" w:lineRule="auto"/>
      <w:ind w:left="720"/>
      <w:contextualSpacing/>
      <w:jc w:val="left"/>
      <w:textAlignment w:val="auto"/>
    </w:pPr>
    <w:rPr>
      <w:rFonts w:ascii="Calibri" w:eastAsiaTheme="minorHAnsi" w:hAnsi="Calibri" w:cs="Calibri"/>
      <w:szCs w:val="22"/>
      <w:lang w:val="pl-PL"/>
    </w:rPr>
  </w:style>
  <w:style w:type="character" w:styleId="CommentReference">
    <w:name w:val="annotation reference"/>
    <w:basedOn w:val="DefaultParagraphFont"/>
    <w:rsid w:val="00457C9F"/>
    <w:rPr>
      <w:sz w:val="16"/>
      <w:szCs w:val="16"/>
    </w:rPr>
  </w:style>
  <w:style w:type="paragraph" w:styleId="CommentText">
    <w:name w:val="annotation text"/>
    <w:basedOn w:val="Normal"/>
    <w:link w:val="CommentTextChar"/>
    <w:rsid w:val="00457C9F"/>
    <w:pPr>
      <w:spacing w:line="240" w:lineRule="auto"/>
    </w:pPr>
    <w:rPr>
      <w:sz w:val="20"/>
    </w:rPr>
  </w:style>
  <w:style w:type="character" w:customStyle="1" w:styleId="CommentTextChar">
    <w:name w:val="Comment Text Char"/>
    <w:basedOn w:val="DefaultParagraphFont"/>
    <w:link w:val="CommentText"/>
    <w:rsid w:val="00457C9F"/>
    <w:rPr>
      <w:lang w:val="en-GB" w:eastAsia="en-US"/>
    </w:rPr>
  </w:style>
  <w:style w:type="paragraph" w:styleId="CommentSubject">
    <w:name w:val="annotation subject"/>
    <w:basedOn w:val="CommentText"/>
    <w:next w:val="CommentText"/>
    <w:link w:val="CommentSubjectChar"/>
    <w:rsid w:val="00457C9F"/>
    <w:rPr>
      <w:b/>
      <w:bCs/>
    </w:rPr>
  </w:style>
  <w:style w:type="character" w:customStyle="1" w:styleId="CommentSubjectChar">
    <w:name w:val="Comment Subject Char"/>
    <w:basedOn w:val="CommentTextChar"/>
    <w:link w:val="CommentSubject"/>
    <w:rsid w:val="00457C9F"/>
    <w:rPr>
      <w:b/>
      <w:bCs/>
      <w:lang w:val="en-GB" w:eastAsia="en-US"/>
    </w:rPr>
  </w:style>
  <w:style w:type="paragraph" w:customStyle="1" w:styleId="Default">
    <w:name w:val="Default"/>
    <w:basedOn w:val="Normal"/>
    <w:rsid w:val="00835FD3"/>
    <w:pPr>
      <w:overflowPunct/>
      <w:adjustRightInd/>
      <w:spacing w:line="240" w:lineRule="auto"/>
      <w:jc w:val="left"/>
      <w:textAlignment w:val="auto"/>
    </w:pPr>
    <w:rPr>
      <w:rFonts w:eastAsiaTheme="minorHAnsi"/>
      <w:color w:val="000000"/>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0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CORWEB-1341905228-1323</_dlc_DocId>
    <_dlc_DocIdUrl xmlns="61ca3f1a-19f4-461d-a43b-0b5ad97b08be">
      <Url>https://prod-portal.cor.europa.eu/en/events/_layouts/15/DocIdRedir.aspx?ID=CORWEB-1341905228-1323</Url>
      <Description>CORWEB-1341905228-1323</Description>
    </_dlc_DocIdUrl>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932CC2B672364893F35D5FA1591D21" ma:contentTypeVersion="4" ma:contentTypeDescription="Create a new document." ma:contentTypeScope="" ma:versionID="d79305b0d894352fc7d6d15add3b112b">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52e17b3145f61808e1d2968090d8bbc9"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46CA1-4A0B-4E2F-9728-D5B54CF30F69}">
  <ds:schemaRefs>
    <ds:schemaRef ds:uri="http://schemas.microsoft.com/sharepoint/v3/contenttype/forms"/>
  </ds:schemaRefs>
</ds:datastoreItem>
</file>

<file path=customXml/itemProps2.xml><?xml version="1.0" encoding="utf-8"?>
<ds:datastoreItem xmlns:ds="http://schemas.openxmlformats.org/officeDocument/2006/customXml" ds:itemID="{86237025-44D5-4895-BCD7-DD316C967FAA}">
  <ds:schemaRefs>
    <ds:schemaRef ds:uri="http://purl.org/dc/dcmitype/"/>
    <ds:schemaRef ds:uri="http://schemas.microsoft.com/sharepoint/v3/fields"/>
    <ds:schemaRef ds:uri="http://schemas.microsoft.com/office/infopath/2007/PartnerControls"/>
    <ds:schemaRef ds:uri="857bdf61-ef81-4463-9c7c-83f2607ad7f5"/>
    <ds:schemaRef ds:uri="2f9bd059-0071-4699-9d5e-0c06925c200a"/>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097956B3-3D23-428A-B827-EA419FD339A8}"/>
</file>

<file path=customXml/itemProps4.xml><?xml version="1.0" encoding="utf-8"?>
<ds:datastoreItem xmlns:ds="http://schemas.openxmlformats.org/officeDocument/2006/customXml" ds:itemID="{93494812-B761-43D3-BF45-DB3B684775E5}"/>
</file>

<file path=customXml/itemProps5.xml><?xml version="1.0" encoding="utf-8"?>
<ds:datastoreItem xmlns:ds="http://schemas.openxmlformats.org/officeDocument/2006/customXml" ds:itemID="{0B32FAC3-A999-4AF4-8AC7-EC5B74353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1194</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Better Communication for Cohesion Policy</vt:lpstr>
    </vt:vector>
  </TitlesOfParts>
  <Company>CESE-CdR</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Better Communication for Cohesion Policy</dc:title>
  <dc:subject>Working document</dc:subject>
  <dc:creator>Emma Nieddu</dc:creator>
  <cp:keywords>COR-2019-00645-00-00-DT-TRA-EN</cp:keywords>
  <dc:description>Rapporteur: - TEBAN Original language: - EN Date of document: - 11/03/2019 Date of meeting: - 25/03/2019 External documents: -  Administrator responsible: - M. Lopez Cutillas Gustavo Jose</dc:description>
  <cp:lastModifiedBy>Gustavo Lopez Cutillas</cp:lastModifiedBy>
  <cp:revision>5</cp:revision>
  <cp:lastPrinted>2007-01-10T10:43:00Z</cp:lastPrinted>
  <dcterms:created xsi:type="dcterms:W3CDTF">2019-03-12T08:38:00Z</dcterms:created>
  <dcterms:modified xsi:type="dcterms:W3CDTF">2019-04-04T08:06:00Z</dcterms:modified>
  <cp:category>COTER-VI/53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11/03/2019</vt:lpwstr>
  </property>
  <property fmtid="{D5CDD505-2E9C-101B-9397-08002B2CF9AE}" pid="4" name="Pref_Time">
    <vt:lpwstr>15:02:39</vt:lpwstr>
  </property>
  <property fmtid="{D5CDD505-2E9C-101B-9397-08002B2CF9AE}" pid="5" name="Pref_User">
    <vt:lpwstr>LAchi</vt:lpwstr>
  </property>
  <property fmtid="{D5CDD505-2E9C-101B-9397-08002B2CF9AE}" pid="6" name="Pref_FileName">
    <vt:lpwstr>COR-2019-00645-00-00-DT-ORI.docx</vt:lpwstr>
  </property>
  <property fmtid="{D5CDD505-2E9C-101B-9397-08002B2CF9AE}" pid="7" name="ContentTypeId">
    <vt:lpwstr>0x01010060932CC2B672364893F35D5FA1591D21</vt:lpwstr>
  </property>
  <property fmtid="{D5CDD505-2E9C-101B-9397-08002B2CF9AE}" pid="8" name="_dlc_DocIdItemGuid">
    <vt:lpwstr>0106857d-8648-4f26-a273-a1cd215e938b</vt:lpwstr>
  </property>
  <property fmtid="{D5CDD505-2E9C-101B-9397-08002B2CF9AE}" pid="9" name="AvailableTranslations">
    <vt:lpwstr>9;#EN|f2175f21-25d7-44a3-96da-d6a61b075e1b</vt:lpwstr>
  </property>
  <property fmtid="{D5CDD505-2E9C-101B-9397-08002B2CF9AE}" pid="10" name="DossierName">
    <vt:lpwstr>88;#COTER-VI|83557551-cb0a-4a30-8de1-bd4ab4e4cffd</vt:lpwstr>
  </property>
  <property fmtid="{D5CDD505-2E9C-101B-9397-08002B2CF9AE}" pid="11" name="DocumentStatus">
    <vt:lpwstr>2;#TRA|150d2a88-1431-44e6-a8ca-0bb753ab8672</vt:lpwstr>
  </property>
  <property fmtid="{D5CDD505-2E9C-101B-9397-08002B2CF9AE}" pid="12" name="Confidentiality">
    <vt:lpwstr>10;#Unrestricted|826e22d7-d029-4ec0-a450-0c28ff673572</vt:lpwstr>
  </property>
  <property fmtid="{D5CDD505-2E9C-101B-9397-08002B2CF9AE}" pid="13" name="OriginalLanguage">
    <vt:lpwstr>9;#EN|f2175f21-25d7-44a3-96da-d6a61b075e1b</vt:lpwstr>
  </property>
  <property fmtid="{D5CDD505-2E9C-101B-9397-08002B2CF9AE}" pid="14" name="MeetingName">
    <vt:lpwstr>75;#COTER-VI|3552edab-c1b7-4b35-80b1-c9e901d8cd86</vt:lpwstr>
  </property>
  <property fmtid="{D5CDD505-2E9C-101B-9397-08002B2CF9AE}" pid="15" name="VersionStatus">
    <vt:lpwstr>6;#Final|ea5e6674-7b27-4bac-b091-73adbb394efe</vt:lpwstr>
  </property>
  <property fmtid="{D5CDD505-2E9C-101B-9397-08002B2CF9AE}" pid="16" name="DocumentSource">
    <vt:lpwstr>1;#CoR|cb2d75ef-4a7d-4393-b797-49ed6298a5ea</vt:lpwstr>
  </property>
  <property fmtid="{D5CDD505-2E9C-101B-9397-08002B2CF9AE}" pid="17" name="DocumentType">
    <vt:lpwstr>77;#DT|25c86c03-f029-4a57-bd6c-25106fad060c</vt:lpwstr>
  </property>
  <property fmtid="{D5CDD505-2E9C-101B-9397-08002B2CF9AE}" pid="18" name="DocumentLanguage">
    <vt:lpwstr>9;#EN|f2175f21-25d7-44a3-96da-d6a61b075e1b</vt:lpwstr>
  </property>
  <property fmtid="{D5CDD505-2E9C-101B-9397-08002B2CF9AE}" pid="19" name="_docset_NoMedatataSyncRequired">
    <vt:lpwstr>False</vt:lpwstr>
  </property>
</Properties>
</file>