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3369"/>
        <w:gridCol w:w="2573"/>
        <w:gridCol w:w="3805"/>
      </w:tblGrid>
      <w:tr w:rsidR="00EF6742" w14:paraId="2EC31336" w14:textId="77777777" w:rsidTr="00763754">
        <w:trPr>
          <w:trHeight w:val="1833"/>
        </w:trPr>
        <w:tc>
          <w:tcPr>
            <w:tcW w:w="3369" w:type="dxa"/>
            <w:hideMark/>
          </w:tcPr>
          <w:p w14:paraId="60E881A6" w14:textId="4FC91E0B" w:rsidR="00EF6742" w:rsidRPr="003C26BF" w:rsidRDefault="004F51B8" w:rsidP="003C26BF">
            <w:pPr>
              <w:pStyle w:val="NormalWeb"/>
              <w:spacing w:before="0" w:beforeAutospacing="0" w:after="0" w:afterAutospacing="0" w:line="276" w:lineRule="auto"/>
              <w:textAlignment w:val="baseline"/>
              <w:rPr>
                <w:b/>
              </w:rPr>
            </w:pPr>
            <w:r>
              <w:rPr>
                <w:rFonts w:eastAsia="Arial Unicode MS"/>
                <w:noProof/>
                <w:lang w:val="fr-BE" w:eastAsia="fr-BE" w:bidi="ar-SA"/>
              </w:rPr>
              <w:drawing>
                <wp:inline distT="0" distB="0" distL="0" distR="0" wp14:anchorId="7BC0207D" wp14:editId="1B9CD9AD">
                  <wp:extent cx="1799590" cy="1555750"/>
                  <wp:effectExtent l="0" t="0" r="0" b="6350"/>
                  <wp:docPr id="2" name="Picture 2" title="CoRLogo_LV"/>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p>
        </w:tc>
        <w:tc>
          <w:tcPr>
            <w:tcW w:w="2573" w:type="dxa"/>
          </w:tcPr>
          <w:p w14:paraId="52C29E7C" w14:textId="17A1B79A" w:rsidR="00EF6742" w:rsidRPr="00EF6742" w:rsidRDefault="00EF6742" w:rsidP="003C26BF">
            <w:pPr>
              <w:pStyle w:val="NormalWeb"/>
              <w:spacing w:before="0" w:beforeAutospacing="0" w:after="0" w:afterAutospacing="0" w:line="276" w:lineRule="auto"/>
              <w:textAlignment w:val="baseline"/>
              <w:rPr>
                <w:noProof/>
              </w:rPr>
            </w:pPr>
          </w:p>
        </w:tc>
        <w:tc>
          <w:tcPr>
            <w:tcW w:w="3805" w:type="dxa"/>
            <w:vAlign w:val="center"/>
            <w:hideMark/>
          </w:tcPr>
          <w:p w14:paraId="0F46EB71" w14:textId="320D5CA6" w:rsidR="00EF6742" w:rsidRPr="00EF6742" w:rsidRDefault="00EF6742" w:rsidP="003C26BF">
            <w:pPr>
              <w:pStyle w:val="NormalWeb"/>
              <w:spacing w:before="0" w:beforeAutospacing="0" w:after="0" w:afterAutospacing="0" w:line="276" w:lineRule="auto"/>
              <w:jc w:val="right"/>
              <w:textAlignment w:val="baseline"/>
              <w:rPr>
                <w:noProof/>
              </w:rPr>
            </w:pPr>
            <w:r>
              <w:rPr>
                <w:noProof/>
                <w:lang w:val="fr-BE" w:eastAsia="fr-BE" w:bidi="ar-SA"/>
              </w:rPr>
              <w:drawing>
                <wp:inline distT="0" distB="0" distL="0" distR="0" wp14:anchorId="21E6FD8E" wp14:editId="3599FDFD">
                  <wp:extent cx="1288111" cy="1152938"/>
                  <wp:effectExtent l="0" t="0" r="7620" b="9525"/>
                  <wp:docPr id="11" name="Picture 11" descr="L:\European Entrepreneurial Region\Logos\New logos 2017\3231 EER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uropean Entrepreneurial Region\Logos\New logos 2017\3231 EER label.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0494"/>
                          <a:stretch/>
                        </pic:blipFill>
                        <pic:spPr bwMode="auto">
                          <a:xfrm>
                            <a:off x="0" y="0"/>
                            <a:ext cx="1287745" cy="11526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C4CB33" w14:textId="77777777" w:rsidR="00AE045E" w:rsidRPr="007C434A" w:rsidRDefault="00AE045E" w:rsidP="00AE045E">
      <w:pPr>
        <w:jc w:val="center"/>
      </w:pPr>
    </w:p>
    <w:p w14:paraId="74B40910" w14:textId="019FF0B9" w:rsidR="00AE045E" w:rsidRPr="006D40BA" w:rsidRDefault="00934423" w:rsidP="00AE045E">
      <w:pPr>
        <w:jc w:val="center"/>
      </w:pPr>
      <w:r>
        <w:rPr>
          <w:noProof/>
          <w:sz w:val="20"/>
          <w:lang w:val="fr-BE" w:eastAsia="fr-BE" w:bidi="ar-SA"/>
        </w:rPr>
        <mc:AlternateContent>
          <mc:Choice Requires="wps">
            <w:drawing>
              <wp:anchor distT="0" distB="0" distL="114300" distR="114300" simplePos="0" relativeHeight="251665408" behindDoc="1" locked="0" layoutInCell="0" allowOverlap="1" wp14:anchorId="6FE28D52" wp14:editId="615471C2">
                <wp:simplePos x="0" y="0"/>
                <wp:positionH relativeFrom="page">
                  <wp:posOffset>6769100</wp:posOffset>
                </wp:positionH>
                <wp:positionV relativeFrom="page">
                  <wp:posOffset>10081260</wp:posOffset>
                </wp:positionV>
                <wp:extent cx="647700" cy="396240"/>
                <wp:effectExtent l="0" t="381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BAFFF" w14:textId="77777777" w:rsidR="00934423" w:rsidRPr="00260E65" w:rsidRDefault="00934423">
                            <w:pPr>
                              <w:jc w:val="center"/>
                              <w:rPr>
                                <w:rFonts w:ascii="Arial" w:hAnsi="Arial" w:cs="Arial"/>
                                <w:b/>
                                <w:bCs/>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FE28D52"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2tl0EtQIAALkF&#10;AAAOAAAAAAAAAAAAAAAAAC4CAABkcnMvZTJvRG9jLnhtbFBLAQItABQABgAIAAAAIQDrVDFa3gAA&#10;AA8BAAAPAAAAAAAAAAAAAAAAAA8FAABkcnMvZG93bnJldi54bWxQSwUGAAAAAAQABADzAAAAGgYA&#10;AAAA&#10;" o:allowincell="f" filled="f" stroked="f">
                <v:textbox>
                  <w:txbxContent>
                    <w:p w14:paraId="7BABAFFF" w14:textId="77777777" w:rsidR="00934423" w:rsidRPr="00260E65" w:rsidRDefault="00934423">
                      <w:pPr>
                        <w:jc w:val="center"/>
                        <w:rPr>
                          <w:rFonts w:ascii="Arial" w:hAnsi="Arial" w:cs="Arial"/>
                          <w:b/>
                          <w:bCs/>
                          <w:sz w:val="48"/>
                        </w:rPr>
                      </w:pPr>
                      <w:r>
                        <w:rPr>
                          <w:rFonts w:ascii="Arial" w:hAnsi="Arial"/>
                          <w:b/>
                          <w:sz w:val="48"/>
                        </w:rPr>
                        <w:t>LV</w:t>
                      </w:r>
                    </w:p>
                  </w:txbxContent>
                </v:textbox>
                <w10:wrap anchorx="page" anchory="page"/>
              </v:shape>
            </w:pict>
          </mc:Fallback>
        </mc:AlternateContent>
      </w:r>
    </w:p>
    <w:p w14:paraId="39CCAB17" w14:textId="13600331" w:rsidR="00AE045E" w:rsidRPr="006D40BA" w:rsidRDefault="00AE045E" w:rsidP="00AE045E">
      <w:pPr>
        <w:jc w:val="center"/>
        <w:rPr>
          <w:b/>
          <w:sz w:val="32"/>
          <w:szCs w:val="26"/>
        </w:rPr>
      </w:pPr>
      <w:r>
        <w:rPr>
          <w:b/>
          <w:sz w:val="32"/>
        </w:rPr>
        <w:t>Izcilības zīme “Eiropas reģions, kas veicina uzņēmējdarbību (2020)”</w:t>
      </w:r>
    </w:p>
    <w:p w14:paraId="7BCC69FE" w14:textId="77777777" w:rsidR="00AE045E" w:rsidRPr="006D40BA" w:rsidRDefault="00AE045E" w:rsidP="00AE045E">
      <w:pPr>
        <w:jc w:val="center"/>
      </w:pPr>
    </w:p>
    <w:p w14:paraId="6C0B30E7" w14:textId="77777777" w:rsidR="00AE045E" w:rsidRPr="006D40BA" w:rsidRDefault="00AE045E" w:rsidP="00AE045E">
      <w:pPr>
        <w:jc w:val="center"/>
        <w:rPr>
          <w:b/>
          <w:i/>
          <w:sz w:val="32"/>
        </w:rPr>
      </w:pPr>
      <w:r>
        <w:rPr>
          <w:b/>
          <w:sz w:val="32"/>
        </w:rPr>
        <w:t>Pieteikšanās</w:t>
      </w:r>
    </w:p>
    <w:p w14:paraId="046002E3" w14:textId="77777777" w:rsidR="00AE045E" w:rsidRPr="006D40BA" w:rsidRDefault="00AE045E" w:rsidP="00AE045E">
      <w:pPr>
        <w:jc w:val="center"/>
      </w:pPr>
    </w:p>
    <w:p w14:paraId="725B6068" w14:textId="77777777" w:rsidR="00745060" w:rsidRPr="006D40BA" w:rsidRDefault="00745060" w:rsidP="00AE045E">
      <w:pPr>
        <w:jc w:val="center"/>
      </w:pPr>
    </w:p>
    <w:p w14:paraId="368E5A7C" w14:textId="77777777" w:rsidR="00F25276" w:rsidRPr="00982305" w:rsidRDefault="00EA4DF1" w:rsidP="001E20B2">
      <w:pPr>
        <w:rPr>
          <w:b/>
        </w:rPr>
      </w:pPr>
      <w:r>
        <w:rPr>
          <w:b/>
        </w:rPr>
        <w:t xml:space="preserve">Kas ir </w:t>
      </w:r>
      <w:r>
        <w:rPr>
          <w:b/>
          <w:i/>
        </w:rPr>
        <w:t>EER</w:t>
      </w:r>
      <w:r>
        <w:rPr>
          <w:b/>
        </w:rPr>
        <w:t>?</w:t>
      </w:r>
    </w:p>
    <w:p w14:paraId="0E3225AF" w14:textId="77777777" w:rsidR="008A5C85" w:rsidRPr="006D40BA" w:rsidRDefault="008A5C85" w:rsidP="00D9169E"/>
    <w:p w14:paraId="34DC6DDC" w14:textId="77777777" w:rsidR="008A5C85" w:rsidRPr="006D40BA" w:rsidRDefault="008A5C85" w:rsidP="00B011DB">
      <w:r>
        <w:t>Izcilības zīme “Eiropas reģions, kas veicina uzņēmējdarbību” (</w:t>
      </w:r>
      <w:proofErr w:type="spellStart"/>
      <w:r>
        <w:rPr>
          <w:i/>
        </w:rPr>
        <w:t>European</w:t>
      </w:r>
      <w:proofErr w:type="spellEnd"/>
      <w:r>
        <w:rPr>
          <w:i/>
        </w:rPr>
        <w:t xml:space="preserve"> </w:t>
      </w:r>
      <w:proofErr w:type="spellStart"/>
      <w:r>
        <w:rPr>
          <w:i/>
        </w:rPr>
        <w:t>Entrepreneurial</w:t>
      </w:r>
      <w:proofErr w:type="spellEnd"/>
      <w:r>
        <w:rPr>
          <w:i/>
        </w:rPr>
        <w:t xml:space="preserve"> </w:t>
      </w:r>
      <w:proofErr w:type="spellStart"/>
      <w:r>
        <w:rPr>
          <w:i/>
        </w:rPr>
        <w:t>Region</w:t>
      </w:r>
      <w:proofErr w:type="spellEnd"/>
      <w:r>
        <w:rPr>
          <w:i/>
        </w:rPr>
        <w:t> — EER</w:t>
      </w:r>
      <w:r>
        <w:t xml:space="preserve">) ir Reģionu komitejas iniciatīva, kas izveidota, lai neatkarīgi no to lieluma, labklājības līmeņa un pilnvarām apzinātu un apbalvotu ES reģionus un pilsētas ar izcilu, </w:t>
      </w:r>
      <w:r>
        <w:rPr>
          <w:b/>
        </w:rPr>
        <w:t>progresīvu stratēģiju uzņēmējdarbības jomā.</w:t>
      </w:r>
      <w:r>
        <w:t xml:space="preserve"> Teritorijām, kuru politiskā stratēģija ir vispārliecinošākā, vistālredzīgākā un visdaudzsološākā, attiecīgajā gadā piešķir goda nosaukumu “Eiropas reģions, kas veicina uzņēmējdarbību”.</w:t>
      </w:r>
    </w:p>
    <w:p w14:paraId="076F6F1C" w14:textId="77777777" w:rsidR="008A5C85" w:rsidRPr="006D40BA" w:rsidRDefault="008A5C85" w:rsidP="00B011DB"/>
    <w:p w14:paraId="59064502" w14:textId="77777777" w:rsidR="008A5C85" w:rsidRPr="006D40BA" w:rsidRDefault="008A5C85" w:rsidP="001E20B2">
      <w:r>
        <w:t>Iniciatīvai ir divkāršs mērķis:</w:t>
      </w:r>
    </w:p>
    <w:p w14:paraId="609254A3" w14:textId="77777777" w:rsidR="008A5C85" w:rsidRPr="006D40BA" w:rsidRDefault="008A5C85" w:rsidP="001E20B2"/>
    <w:p w14:paraId="68C5D52B" w14:textId="77777777" w:rsidR="008A5C85" w:rsidRPr="006D40BA" w:rsidRDefault="008A5C85" w:rsidP="001E20B2">
      <w:pPr>
        <w:numPr>
          <w:ilvl w:val="0"/>
          <w:numId w:val="15"/>
        </w:numPr>
      </w:pPr>
      <w:r>
        <w:t xml:space="preserve">sekmēt </w:t>
      </w:r>
      <w:r>
        <w:rPr>
          <w:b/>
        </w:rPr>
        <w:t>Mazās uzņēmējdarbības akta</w:t>
      </w:r>
      <w:r>
        <w:t> (MUA) īstenošanu ar partnerību palīdzību;</w:t>
      </w:r>
    </w:p>
    <w:p w14:paraId="088FB84D" w14:textId="77777777" w:rsidR="008A5C85" w:rsidRPr="006D40BA" w:rsidRDefault="008A5C85" w:rsidP="001E20B2">
      <w:pPr>
        <w:numPr>
          <w:ilvl w:val="0"/>
          <w:numId w:val="15"/>
        </w:numPr>
      </w:pPr>
      <w:r>
        <w:t xml:space="preserve">izcelt </w:t>
      </w:r>
      <w:r>
        <w:rPr>
          <w:b/>
        </w:rPr>
        <w:t>Eiropas Savienības un citu publiskā sektora līdzekļu optimālu izmantošanu</w:t>
      </w:r>
      <w:r>
        <w:t xml:space="preserve"> nolūkā attīstīt reģiona uzņēmējdarbības politiku.</w:t>
      </w:r>
    </w:p>
    <w:p w14:paraId="0C9E281C" w14:textId="77777777" w:rsidR="008A5C85" w:rsidRPr="006D40BA" w:rsidRDefault="008A5C85" w:rsidP="001E20B2"/>
    <w:p w14:paraId="2A756E40" w14:textId="433E5113" w:rsidR="008A5C85" w:rsidRPr="006D40BA" w:rsidRDefault="008A5C85" w:rsidP="001E20B2">
      <w:r>
        <w:t xml:space="preserve">Ar </w:t>
      </w:r>
      <w:r>
        <w:rPr>
          <w:i/>
        </w:rPr>
        <w:t>EER</w:t>
      </w:r>
      <w:r>
        <w:t xml:space="preserve"> iniciatīvu Reģionu komiteja atbalsta MUA principu integrēšanu reģionālajā un vietējā līmenī. </w:t>
      </w:r>
      <w:r>
        <w:rPr>
          <w:i/>
        </w:rPr>
        <w:t>EER</w:t>
      </w:r>
      <w:r>
        <w:t xml:space="preserve"> izcilības zīme ir iespēja vietējā un reģionālā līmeņa dalībniekiem apliecināt uzņēmēju un mazo un vidējo uzņēmumu izšķirīgo lomu ekonomikas </w:t>
      </w:r>
      <w:proofErr w:type="spellStart"/>
      <w:r>
        <w:t>izturētspējas</w:t>
      </w:r>
      <w:proofErr w:type="spellEnd"/>
      <w:r>
        <w:t xml:space="preserve"> stiprināšanā. Mudinot reģionus izmantot savu potenciālu izaugsmes un darbvietu izveides jomā, </w:t>
      </w:r>
      <w:r>
        <w:rPr>
          <w:i/>
        </w:rPr>
        <w:t>EER</w:t>
      </w:r>
      <w:r>
        <w:t xml:space="preserve"> izcilības zīme paver iespējas ES reģioniem turpināt virzību uz ekonomikas atveseļošanu.</w:t>
      </w:r>
    </w:p>
    <w:p w14:paraId="761349F0" w14:textId="77777777" w:rsidR="008A5C85" w:rsidRPr="006D40BA" w:rsidRDefault="008A5C85" w:rsidP="001E20B2"/>
    <w:p w14:paraId="5D088155" w14:textId="42CE492C" w:rsidR="006F74DC" w:rsidRPr="006D40BA" w:rsidRDefault="008A5C85" w:rsidP="001E20B2">
      <w:r>
        <w:rPr>
          <w:i/>
        </w:rPr>
        <w:t>EER</w:t>
      </w:r>
      <w:r>
        <w:t xml:space="preserve"> programmā ir izmantota </w:t>
      </w:r>
      <w:r>
        <w:rPr>
          <w:b/>
        </w:rPr>
        <w:t>daudzlīmeņu pārvaldības</w:t>
      </w:r>
      <w:r>
        <w:t xml:space="preserve"> pieeja — tiek atbalstītas reģionālas </w:t>
      </w:r>
      <w:r>
        <w:rPr>
          <w:i/>
        </w:rPr>
        <w:t>EER</w:t>
      </w:r>
      <w:r>
        <w:t xml:space="preserve"> kopienas, kurās ir pārstāvēti gan reģionālā, gan vietējā līmeņa dalībnieki. Politikas veidotājiem un iesaistītajām personām EER sniedz spēcīgu stimulu kopīgi izstrādāt stratēģijas, ar kurām īstenot šādus Mazās uzņēmējdarbības akta principus: “radīt vidi, kurā uzņēmēji (..) var attīstīties”, “vispirms domāt par mazajiem uzņēmumiem”, “valsts iestādes padarīt atsaucīgas MVU vajadzībām” un “atbalstīt MVU, lai tie izmantotu tirgus izaugsmes priekšrocības”. Tādējādi </w:t>
      </w:r>
      <w:r>
        <w:rPr>
          <w:i/>
        </w:rPr>
        <w:t>EER</w:t>
      </w:r>
      <w:r>
        <w:t xml:space="preserve"> sekmē uzņēmējdarbību veicinošu, dinamisku un videi labvēlīgu reģionu veidošanos visā Eiropā.</w:t>
      </w:r>
    </w:p>
    <w:p w14:paraId="561A380B" w14:textId="7F8AFEA2" w:rsidR="00EA4DF1" w:rsidRPr="006D40BA" w:rsidRDefault="00FD3AE5">
      <w:pPr>
        <w:keepNext/>
      </w:pPr>
      <w:r>
        <w:lastRenderedPageBreak/>
        <w:t>Izcilības zīmi līdz šim ir saņēmuši divdesmit septiņi Eiropas reģioni:</w:t>
      </w:r>
    </w:p>
    <w:p w14:paraId="46E4E0D4" w14:textId="77777777" w:rsidR="006F74DC" w:rsidRPr="006D40BA" w:rsidRDefault="006F74DC">
      <w:pPr>
        <w:keepNext/>
      </w:pPr>
    </w:p>
    <w:p w14:paraId="5591EEE5" w14:textId="77777777" w:rsidR="00802A44" w:rsidRPr="006D40BA" w:rsidRDefault="00EA4DF1">
      <w:pPr>
        <w:keepNext/>
        <w:numPr>
          <w:ilvl w:val="0"/>
          <w:numId w:val="23"/>
        </w:numPr>
      </w:pPr>
      <w:r>
        <w:rPr>
          <w:b/>
        </w:rPr>
        <w:t>2011. g.</w:t>
      </w:r>
      <w:r>
        <w:t xml:space="preserve">: Brandenburga (Vācija), </w:t>
      </w:r>
      <w:proofErr w:type="spellStart"/>
      <w:r>
        <w:t>Kerijas</w:t>
      </w:r>
      <w:proofErr w:type="spellEnd"/>
      <w:r>
        <w:t xml:space="preserve"> grāfiste (Īrija) un </w:t>
      </w:r>
      <w:proofErr w:type="spellStart"/>
      <w:r>
        <w:t>Mursijas</w:t>
      </w:r>
      <w:proofErr w:type="spellEnd"/>
      <w:r>
        <w:t xml:space="preserve"> reģions (Spānija);</w:t>
      </w:r>
    </w:p>
    <w:p w14:paraId="5A86A4C7" w14:textId="77777777" w:rsidR="00EA4DF1" w:rsidRPr="006D40BA" w:rsidRDefault="00EA4DF1">
      <w:pPr>
        <w:keepNext/>
        <w:numPr>
          <w:ilvl w:val="0"/>
          <w:numId w:val="23"/>
        </w:numPr>
      </w:pPr>
      <w:r>
        <w:rPr>
          <w:b/>
        </w:rPr>
        <w:t>2012. g.</w:t>
      </w:r>
      <w:r>
        <w:t>: Katalonija (Spānija), Helsinki-</w:t>
      </w:r>
      <w:proofErr w:type="spellStart"/>
      <w:r>
        <w:t>Ūsimā</w:t>
      </w:r>
      <w:proofErr w:type="spellEnd"/>
      <w:r>
        <w:t xml:space="preserve"> (Somija) un </w:t>
      </w:r>
      <w:proofErr w:type="spellStart"/>
      <w:r>
        <w:t>Trnava</w:t>
      </w:r>
      <w:proofErr w:type="spellEnd"/>
      <w:r>
        <w:t xml:space="preserve"> (Slovākija);</w:t>
      </w:r>
    </w:p>
    <w:p w14:paraId="7A6C3B1C" w14:textId="77777777" w:rsidR="00EA4DF1" w:rsidRPr="006D40BA" w:rsidRDefault="00EA4DF1" w:rsidP="001E20B2">
      <w:pPr>
        <w:numPr>
          <w:ilvl w:val="0"/>
          <w:numId w:val="23"/>
        </w:numPr>
      </w:pPr>
      <w:r>
        <w:rPr>
          <w:b/>
        </w:rPr>
        <w:t>2013. g.</w:t>
      </w:r>
      <w:r>
        <w:t>: Ziemeļfrancija-</w:t>
      </w:r>
      <w:proofErr w:type="spellStart"/>
      <w:r>
        <w:t>Padekalē</w:t>
      </w:r>
      <w:proofErr w:type="spellEnd"/>
      <w:r>
        <w:t xml:space="preserve"> (Francija), </w:t>
      </w:r>
      <w:proofErr w:type="spellStart"/>
      <w:r>
        <w:t>Dienviddānija</w:t>
      </w:r>
      <w:proofErr w:type="spellEnd"/>
      <w:r>
        <w:t xml:space="preserve"> (Dānija) un </w:t>
      </w:r>
      <w:proofErr w:type="spellStart"/>
      <w:r>
        <w:t>Štīrija</w:t>
      </w:r>
      <w:proofErr w:type="spellEnd"/>
      <w:r>
        <w:t xml:space="preserve"> (Austrija);</w:t>
      </w:r>
    </w:p>
    <w:p w14:paraId="252492B1" w14:textId="77777777" w:rsidR="00EA4DF1" w:rsidRPr="006D40BA" w:rsidRDefault="00EA4DF1" w:rsidP="001E20B2">
      <w:pPr>
        <w:numPr>
          <w:ilvl w:val="0"/>
          <w:numId w:val="23"/>
        </w:numPr>
      </w:pPr>
      <w:r>
        <w:rPr>
          <w:b/>
        </w:rPr>
        <w:t>2014. g.</w:t>
      </w:r>
      <w:r>
        <w:t xml:space="preserve">: Flandrija (Beļģija), </w:t>
      </w:r>
      <w:proofErr w:type="spellStart"/>
      <w:r>
        <w:t>Marke</w:t>
      </w:r>
      <w:proofErr w:type="spellEnd"/>
      <w:r>
        <w:t xml:space="preserve"> (Itālija) un </w:t>
      </w:r>
      <w:proofErr w:type="spellStart"/>
      <w:r>
        <w:t>Ziemeļbrabante</w:t>
      </w:r>
      <w:proofErr w:type="spellEnd"/>
      <w:r>
        <w:t xml:space="preserve"> (Nīderlande);</w:t>
      </w:r>
    </w:p>
    <w:p w14:paraId="071C4AF9" w14:textId="77777777" w:rsidR="00FA4420" w:rsidRPr="006D40BA" w:rsidRDefault="008A5C85" w:rsidP="001E20B2">
      <w:pPr>
        <w:numPr>
          <w:ilvl w:val="0"/>
          <w:numId w:val="23"/>
        </w:numPr>
      </w:pPr>
      <w:r>
        <w:rPr>
          <w:b/>
        </w:rPr>
        <w:t>2015. g.</w:t>
      </w:r>
      <w:r>
        <w:t xml:space="preserve">: Lisabona (Portugāle), Ziemeļīrija (Apvienotā Karaliste) un </w:t>
      </w:r>
      <w:proofErr w:type="spellStart"/>
      <w:r>
        <w:t>Valensijas</w:t>
      </w:r>
      <w:proofErr w:type="spellEnd"/>
      <w:r>
        <w:t xml:space="preserve"> reģions (Spānija);</w:t>
      </w:r>
    </w:p>
    <w:p w14:paraId="6374EE8C" w14:textId="78FFD3F2" w:rsidR="00FD3AE5" w:rsidRDefault="00FA4420" w:rsidP="00FA4420">
      <w:pPr>
        <w:numPr>
          <w:ilvl w:val="0"/>
          <w:numId w:val="23"/>
        </w:numPr>
      </w:pPr>
      <w:r>
        <w:rPr>
          <w:b/>
        </w:rPr>
        <w:t>2016. g.</w:t>
      </w:r>
      <w:r>
        <w:t xml:space="preserve">: Glāzgova (Apvienotā Karaliste), Lombardija (Itālija) un </w:t>
      </w:r>
      <w:proofErr w:type="spellStart"/>
      <w:r>
        <w:t>Mazpolija</w:t>
      </w:r>
      <w:proofErr w:type="spellEnd"/>
      <w:r>
        <w:t xml:space="preserve"> (Polija);</w:t>
      </w:r>
    </w:p>
    <w:p w14:paraId="17F064A0" w14:textId="77777777" w:rsidR="00EF6742" w:rsidRDefault="00FD3AE5" w:rsidP="00FA4420">
      <w:pPr>
        <w:numPr>
          <w:ilvl w:val="0"/>
          <w:numId w:val="23"/>
        </w:numPr>
      </w:pPr>
      <w:r>
        <w:rPr>
          <w:b/>
        </w:rPr>
        <w:t>2017. g.</w:t>
      </w:r>
      <w:r>
        <w:t xml:space="preserve">: </w:t>
      </w:r>
      <w:proofErr w:type="spellStart"/>
      <w:r>
        <w:t>Estremadura</w:t>
      </w:r>
      <w:proofErr w:type="spellEnd"/>
      <w:r>
        <w:t xml:space="preserve"> (Spānija), </w:t>
      </w:r>
      <w:proofErr w:type="spellStart"/>
      <w:r>
        <w:t>Lejasaustrija</w:t>
      </w:r>
      <w:proofErr w:type="spellEnd"/>
      <w:r>
        <w:t xml:space="preserve"> (Austrija), </w:t>
      </w:r>
      <w:proofErr w:type="spellStart"/>
      <w:r>
        <w:t>Rietumgrieķija</w:t>
      </w:r>
      <w:proofErr w:type="spellEnd"/>
      <w:r>
        <w:t xml:space="preserve"> (Grieķija);</w:t>
      </w:r>
    </w:p>
    <w:p w14:paraId="7C5119F3" w14:textId="0972EEF1" w:rsidR="008A5C85" w:rsidRDefault="00EF6742" w:rsidP="00FA4420">
      <w:pPr>
        <w:numPr>
          <w:ilvl w:val="0"/>
          <w:numId w:val="23"/>
        </w:numPr>
      </w:pPr>
      <w:r>
        <w:rPr>
          <w:b/>
        </w:rPr>
        <w:t>2018. g.</w:t>
      </w:r>
      <w:r>
        <w:t xml:space="preserve">: Centrālā Maķedonija (Grieķija), </w:t>
      </w:r>
      <w:proofErr w:type="spellStart"/>
      <w:r>
        <w:t>Ildefransa</w:t>
      </w:r>
      <w:proofErr w:type="spellEnd"/>
      <w:r>
        <w:t xml:space="preserve"> (Francija) un Īrijas Ziemeļu reģions un Rietumu reģions (Īrija);</w:t>
      </w:r>
    </w:p>
    <w:p w14:paraId="3E09246F" w14:textId="243D8097" w:rsidR="00DC78EB" w:rsidRPr="006D40BA" w:rsidRDefault="00DC78EB" w:rsidP="00FA4420">
      <w:pPr>
        <w:numPr>
          <w:ilvl w:val="0"/>
          <w:numId w:val="23"/>
        </w:numPr>
      </w:pPr>
      <w:r>
        <w:rPr>
          <w:b/>
        </w:rPr>
        <w:t>2019. g.</w:t>
      </w:r>
      <w:r>
        <w:t xml:space="preserve">: Astūrijas reģions (Spānija), </w:t>
      </w:r>
      <w:proofErr w:type="spellStart"/>
      <w:r>
        <w:t>Gelderlandes</w:t>
      </w:r>
      <w:proofErr w:type="spellEnd"/>
      <w:r>
        <w:t xml:space="preserve"> province (Nīderlande) un </w:t>
      </w:r>
      <w:proofErr w:type="spellStart"/>
      <w:r>
        <w:t>Tesālijas</w:t>
      </w:r>
      <w:proofErr w:type="spellEnd"/>
      <w:r>
        <w:t xml:space="preserve"> reģions (Grieķija).</w:t>
      </w:r>
    </w:p>
    <w:p w14:paraId="4E5D7896" w14:textId="77777777" w:rsidR="00C12E76" w:rsidRPr="006D40BA" w:rsidRDefault="00C12E76" w:rsidP="001E20B2"/>
    <w:p w14:paraId="72E7EF53" w14:textId="77777777" w:rsidR="009443CB" w:rsidRPr="006D40BA" w:rsidRDefault="009443CB" w:rsidP="00D9169E">
      <w:r>
        <w:rPr>
          <w:i/>
        </w:rPr>
        <w:t>EER</w:t>
      </w:r>
      <w:r>
        <w:t xml:space="preserve"> izcilības zīmi </w:t>
      </w:r>
      <w:r>
        <w:rPr>
          <w:b/>
        </w:rPr>
        <w:t>Reģionu komiteja</w:t>
      </w:r>
      <w:r>
        <w:t xml:space="preserve"> izveidojusi kopīgi ar </w:t>
      </w:r>
      <w:r>
        <w:rPr>
          <w:b/>
        </w:rPr>
        <w:t>Eiropas Komisiju</w:t>
      </w:r>
      <w:r>
        <w:t xml:space="preserve">, un to atbalsta </w:t>
      </w:r>
      <w:r>
        <w:rPr>
          <w:b/>
        </w:rPr>
        <w:t>Eiropas Parlaments, Eiropas Ekonomikas un sociālo lietu komiteja</w:t>
      </w:r>
      <w:r>
        <w:t xml:space="preserve"> un tādas ES līmeņa ieinteresētās personas kā </w:t>
      </w:r>
      <w:r>
        <w:rPr>
          <w:b/>
        </w:rPr>
        <w:t>Eiropas Amatniecības, mazo un vidējo uzņēmumu asociācija</w:t>
      </w:r>
      <w:r>
        <w:t xml:space="preserve"> (</w:t>
      </w:r>
      <w:r>
        <w:rPr>
          <w:i/>
        </w:rPr>
        <w:t>UEAPME</w:t>
      </w:r>
      <w:r>
        <w:t xml:space="preserve">), </w:t>
      </w:r>
      <w:r>
        <w:rPr>
          <w:b/>
        </w:rPr>
        <w:t>Eiropas Tirdzniecības un rūpniecības palātu apvienība</w:t>
      </w:r>
      <w:r>
        <w:t xml:space="preserve"> (</w:t>
      </w:r>
      <w:proofErr w:type="spellStart"/>
      <w:r>
        <w:rPr>
          <w:i/>
        </w:rPr>
        <w:t>Eurochambres</w:t>
      </w:r>
      <w:proofErr w:type="spellEnd"/>
      <w:r>
        <w:t xml:space="preserve">) un </w:t>
      </w:r>
      <w:r>
        <w:rPr>
          <w:b/>
          <w:i/>
        </w:rPr>
        <w:t>“</w:t>
      </w:r>
      <w:proofErr w:type="spellStart"/>
      <w:r>
        <w:rPr>
          <w:b/>
          <w:i/>
        </w:rPr>
        <w:t>Social</w:t>
      </w:r>
      <w:proofErr w:type="spellEnd"/>
      <w:r>
        <w:rPr>
          <w:b/>
          <w:i/>
        </w:rPr>
        <w:t xml:space="preserve"> </w:t>
      </w:r>
      <w:proofErr w:type="spellStart"/>
      <w:r>
        <w:rPr>
          <w:b/>
          <w:i/>
        </w:rPr>
        <w:t>Economy</w:t>
      </w:r>
      <w:proofErr w:type="spellEnd"/>
      <w:r>
        <w:rPr>
          <w:b/>
          <w:i/>
        </w:rPr>
        <w:t xml:space="preserve"> </w:t>
      </w:r>
      <w:proofErr w:type="spellStart"/>
      <w:r>
        <w:rPr>
          <w:b/>
          <w:i/>
        </w:rPr>
        <w:t>Europe</w:t>
      </w:r>
      <w:proofErr w:type="spellEnd"/>
      <w:r>
        <w:rPr>
          <w:b/>
          <w:i/>
        </w:rPr>
        <w:t>”</w:t>
      </w:r>
      <w:r>
        <w:t>.</w:t>
      </w:r>
    </w:p>
    <w:p w14:paraId="46D54561" w14:textId="77777777" w:rsidR="009443CB" w:rsidRPr="006D40BA" w:rsidRDefault="009443CB" w:rsidP="00B011DB"/>
    <w:p w14:paraId="7ED3683C" w14:textId="045E0F04" w:rsidR="00802A44" w:rsidRPr="006D40BA" w:rsidRDefault="009443CB" w:rsidP="001E20B2">
      <w:r>
        <w:t xml:space="preserve">Reģionu komiteja </w:t>
      </w:r>
      <w:r>
        <w:rPr>
          <w:b/>
        </w:rPr>
        <w:t xml:space="preserve">uzaicinājumu iesniegt pieteikumus 2020. gada </w:t>
      </w:r>
      <w:r>
        <w:rPr>
          <w:b/>
          <w:i/>
        </w:rPr>
        <w:t>EER</w:t>
      </w:r>
      <w:r>
        <w:rPr>
          <w:b/>
        </w:rPr>
        <w:t xml:space="preserve"> izcilības zīmei</w:t>
      </w:r>
      <w:r>
        <w:t xml:space="preserve"> izsludināja 2018. gada 19. novembrī. Pieteikumi jāiesniedz līdz </w:t>
      </w:r>
      <w:r>
        <w:rPr>
          <w:b/>
        </w:rPr>
        <w:t>2019. gada 27. martam</w:t>
      </w:r>
      <w:r>
        <w:t>.</w:t>
      </w:r>
    </w:p>
    <w:p w14:paraId="0F52C960" w14:textId="77777777" w:rsidR="00745060" w:rsidRPr="006D40BA" w:rsidRDefault="00745060" w:rsidP="001E20B2"/>
    <w:p w14:paraId="760419D9" w14:textId="77777777" w:rsidR="008A5C85" w:rsidRPr="00982305" w:rsidRDefault="008A5C85" w:rsidP="00763754">
      <w:pPr>
        <w:keepNext/>
        <w:rPr>
          <w:b/>
        </w:rPr>
      </w:pPr>
      <w:r>
        <w:rPr>
          <w:b/>
        </w:rPr>
        <w:t>Pieteikšanās</w:t>
      </w:r>
    </w:p>
    <w:p w14:paraId="16609FF5" w14:textId="77777777" w:rsidR="006F74DC" w:rsidRPr="006D40BA" w:rsidRDefault="006F74DC" w:rsidP="00763754">
      <w:pPr>
        <w:keepNext/>
      </w:pPr>
    </w:p>
    <w:p w14:paraId="13E532BA" w14:textId="77777777" w:rsidR="00D07992" w:rsidRPr="006D40BA" w:rsidRDefault="00D56B68" w:rsidP="001E20B2">
      <w:r>
        <w:t xml:space="preserve">Jāiesniedz pieteikums, ko veido šādi dokumenti: </w:t>
      </w:r>
    </w:p>
    <w:p w14:paraId="5AD7D04D" w14:textId="77777777" w:rsidR="006F74DC" w:rsidRPr="006D40BA" w:rsidRDefault="006F74DC" w:rsidP="001E20B2"/>
    <w:p w14:paraId="245F05CC" w14:textId="77777777" w:rsidR="008A5C85" w:rsidRPr="006D40BA" w:rsidRDefault="008A5C85" w:rsidP="00D9169E">
      <w:pPr>
        <w:numPr>
          <w:ilvl w:val="0"/>
          <w:numId w:val="17"/>
        </w:numPr>
      </w:pPr>
      <w:r>
        <w:rPr>
          <w:b/>
        </w:rPr>
        <w:t>pieteikuma veidlapa</w:t>
      </w:r>
      <w:r>
        <w:t xml:space="preserve">, kas ietver datus par attiecīgo teritoriālo vienību, politiskā redzējuma kopsavilkumu, aprakstu par plānoto pārvaldības mehānismu, kurš nodrošinās </w:t>
      </w:r>
      <w:r>
        <w:rPr>
          <w:i/>
        </w:rPr>
        <w:t>EER</w:t>
      </w:r>
      <w:r>
        <w:t xml:space="preserve"> pasākumu efektīvu īstenošanu, kā arī rīcības plānu un komunikācijas plānu;</w:t>
      </w:r>
    </w:p>
    <w:p w14:paraId="6C6E2532" w14:textId="77777777" w:rsidR="008A5C85" w:rsidRPr="006D40BA" w:rsidRDefault="008A5C85" w:rsidP="00B011DB">
      <w:pPr>
        <w:numPr>
          <w:ilvl w:val="0"/>
          <w:numId w:val="17"/>
        </w:numPr>
      </w:pPr>
      <w:r>
        <w:rPr>
          <w:b/>
        </w:rPr>
        <w:t>politiskās apņemšanās deklarācija</w:t>
      </w:r>
      <w:r>
        <w:t xml:space="preserve">, kurā jāparāda, ka teritoriālās vienības </w:t>
      </w:r>
      <w:r>
        <w:rPr>
          <w:i/>
        </w:rPr>
        <w:t>EER</w:t>
      </w:r>
      <w:r>
        <w:t xml:space="preserve"> stratēģija ir apstiprināta attiecīgajā politiskajā līmenī (piemēram, reģionālajā asamblejā, reģiona valdībā vai citās attiecīgi pilnvarotās politiskajās struktūrās).</w:t>
      </w:r>
    </w:p>
    <w:p w14:paraId="5895D0F2" w14:textId="77777777" w:rsidR="008A5C85" w:rsidRPr="006D40BA" w:rsidRDefault="008A5C85" w:rsidP="00B011DB"/>
    <w:p w14:paraId="067DAF68" w14:textId="4765E798" w:rsidR="008A5C85" w:rsidRDefault="008A5C85" w:rsidP="001E20B2">
      <w:r>
        <w:t xml:space="preserve">Pieteikuma veidlapu var lejupielādēt no </w:t>
      </w:r>
      <w:r>
        <w:rPr>
          <w:i/>
        </w:rPr>
        <w:t>EER</w:t>
      </w:r>
      <w:r>
        <w:t xml:space="preserve"> tīmekļa vietnes: </w:t>
      </w:r>
    </w:p>
    <w:p w14:paraId="2B729DBE" w14:textId="024BCEA0" w:rsidR="005F70C9" w:rsidRPr="006D40BA" w:rsidRDefault="00912D00" w:rsidP="001E20B2">
      <w:hyperlink r:id="rId16" w:history="1">
        <w:r w:rsidR="005F70C9" w:rsidRPr="001A1DFD">
          <w:rPr>
            <w:rStyle w:val="Hyperlink"/>
          </w:rPr>
          <w:t>https://cor.europa.eu/en/engage/Pages/european-entrepreneurial-region.aspx</w:t>
        </w:r>
      </w:hyperlink>
      <w:r w:rsidR="005F70C9">
        <w:t xml:space="preserve"> </w:t>
      </w:r>
    </w:p>
    <w:p w14:paraId="1EBED3F1" w14:textId="77777777" w:rsidR="00C8582F" w:rsidRPr="006D40BA" w:rsidRDefault="00C8582F" w:rsidP="001E20B2"/>
    <w:p w14:paraId="19D59002" w14:textId="77777777" w:rsidR="008A5C85" w:rsidRPr="00982305" w:rsidRDefault="008A5C85" w:rsidP="00763754">
      <w:pPr>
        <w:keepNext/>
      </w:pPr>
      <w:r>
        <w:rPr>
          <w:b/>
        </w:rPr>
        <w:t>Novērtēšanas kritēriji</w:t>
      </w:r>
    </w:p>
    <w:p w14:paraId="31024CD5" w14:textId="77777777" w:rsidR="008A5C85" w:rsidRPr="006D40BA" w:rsidRDefault="008A5C85" w:rsidP="00763754">
      <w:pPr>
        <w:keepNext/>
      </w:pPr>
    </w:p>
    <w:p w14:paraId="404A5262" w14:textId="77777777" w:rsidR="008A5C85" w:rsidRPr="006D40BA" w:rsidRDefault="008A5C85" w:rsidP="00B011DB">
      <w:r>
        <w:t xml:space="preserve">Pieteikumus vērtēs pēc turpmāk izklāstītajiem kritērijiem. </w:t>
      </w:r>
    </w:p>
    <w:p w14:paraId="7E474C9E" w14:textId="77777777" w:rsidR="008A5C85" w:rsidRPr="006D40BA" w:rsidRDefault="008A5C85" w:rsidP="001E20B2"/>
    <w:p w14:paraId="1053537F" w14:textId="77777777" w:rsidR="008A5C85" w:rsidRPr="006D40BA" w:rsidRDefault="008A5C85">
      <w:pPr>
        <w:pStyle w:val="ListParagraph"/>
        <w:numPr>
          <w:ilvl w:val="0"/>
          <w:numId w:val="24"/>
        </w:numPr>
        <w:ind w:left="360"/>
        <w:rPr>
          <w:bCs/>
          <w:iCs/>
        </w:rPr>
      </w:pPr>
      <w:r>
        <w:rPr>
          <w:b/>
        </w:rPr>
        <w:t>Politiskais redzējums un apņemšanās to īstenot</w:t>
      </w:r>
    </w:p>
    <w:p w14:paraId="67B6D99E" w14:textId="2772AE53" w:rsidR="008A5C85" w:rsidRPr="007740F3" w:rsidRDefault="008A5C85" w:rsidP="001E20B2">
      <w:pPr>
        <w:numPr>
          <w:ilvl w:val="0"/>
          <w:numId w:val="18"/>
        </w:numPr>
      </w:pPr>
      <w:r>
        <w:t xml:space="preserve">Pieteikumā apliecināts progresīvs politiskais redzējums, kā konkrētajā teritoriālajā vienībā īstenos </w:t>
      </w:r>
      <w:r>
        <w:rPr>
          <w:b/>
        </w:rPr>
        <w:t>Eiropas Mazās uzņēmējdarbības aktu</w:t>
      </w:r>
      <w:r>
        <w:t xml:space="preserve">, attiecīgos gadījumos pievēršoties pašreizējām MUA prioritātēm un principiem, kas iekļauti saistītās politikas iniciatīvās, piemēram, rīcības plānā uzņēmējdarbības jomā 2020. gadam, paziņojumā “Zaļās rīcības plāns MVU” un </w:t>
      </w:r>
      <w:proofErr w:type="spellStart"/>
      <w:r>
        <w:t>Jaunuzņēmumu</w:t>
      </w:r>
      <w:proofErr w:type="spellEnd"/>
      <w:r>
        <w:t xml:space="preserve"> un augošo uzņēmumu atbalsta iniciatīvā.</w:t>
      </w:r>
    </w:p>
    <w:p w14:paraId="6CC78239" w14:textId="77777777" w:rsidR="008A5C85" w:rsidRPr="006D40BA" w:rsidRDefault="008A5C85" w:rsidP="001E20B2">
      <w:pPr>
        <w:numPr>
          <w:ilvl w:val="0"/>
          <w:numId w:val="18"/>
        </w:numPr>
        <w:rPr>
          <w:bCs/>
          <w:iCs/>
        </w:rPr>
      </w:pPr>
      <w:r>
        <w:lastRenderedPageBreak/>
        <w:t xml:space="preserve">Pieteikums balstīts uz teritoriālās vienības priekšrocību un trūkumu </w:t>
      </w:r>
      <w:r>
        <w:rPr>
          <w:b/>
        </w:rPr>
        <w:t>objektīvu novērtējumu</w:t>
      </w:r>
      <w:r>
        <w:t xml:space="preserve"> (</w:t>
      </w:r>
      <w:r>
        <w:rPr>
          <w:b/>
          <w:i/>
        </w:rPr>
        <w:t>SWOT</w:t>
      </w:r>
      <w:r>
        <w:rPr>
          <w:b/>
        </w:rPr>
        <w:t xml:space="preserve"> analīze</w:t>
      </w:r>
      <w:r>
        <w:t xml:space="preserve">) un tiešajām kompetencēm MUA desmit principu jomā. Žūrijas locekļi ņem vērā </w:t>
      </w:r>
      <w:r>
        <w:rPr>
          <w:b/>
        </w:rPr>
        <w:t>īpašos apstākļus</w:t>
      </w:r>
      <w:r>
        <w:t xml:space="preserve"> katrā </w:t>
      </w:r>
      <w:proofErr w:type="spellStart"/>
      <w:r>
        <w:t>kandidātreģionā</w:t>
      </w:r>
      <w:proofErr w:type="spellEnd"/>
      <w:r>
        <w:t xml:space="preserve">, kā arī tā </w:t>
      </w:r>
      <w:r>
        <w:rPr>
          <w:b/>
        </w:rPr>
        <w:t>sākotnējās</w:t>
      </w:r>
      <w:r>
        <w:t xml:space="preserve"> </w:t>
      </w:r>
      <w:r>
        <w:rPr>
          <w:b/>
        </w:rPr>
        <w:t>situācijas specifiku</w:t>
      </w:r>
      <w:r>
        <w:t>.</w:t>
      </w:r>
    </w:p>
    <w:p w14:paraId="3CDBC044" w14:textId="77777777" w:rsidR="008A5C85" w:rsidRPr="006D40BA" w:rsidRDefault="008A5C85" w:rsidP="001E20B2">
      <w:pPr>
        <w:numPr>
          <w:ilvl w:val="0"/>
          <w:numId w:val="18"/>
        </w:numPr>
        <w:rPr>
          <w:bCs/>
          <w:iCs/>
        </w:rPr>
      </w:pPr>
      <w:r>
        <w:t xml:space="preserve">Politiskajā redzējumā apliecināta </w:t>
      </w:r>
      <w:r>
        <w:rPr>
          <w:b/>
        </w:rPr>
        <w:t xml:space="preserve">nepārprotama </w:t>
      </w:r>
      <w:r>
        <w:rPr>
          <w:b/>
          <w:i/>
        </w:rPr>
        <w:t>EER</w:t>
      </w:r>
      <w:r>
        <w:rPr>
          <w:b/>
        </w:rPr>
        <w:t xml:space="preserve"> godalgas</w:t>
      </w:r>
      <w:r>
        <w:t xml:space="preserve"> </w:t>
      </w:r>
      <w:r>
        <w:rPr>
          <w:b/>
        </w:rPr>
        <w:t>pievienotā vērtība</w:t>
      </w:r>
      <w:r>
        <w:t xml:space="preserve"> teritoriālajai vienībai, tostarp savas politikas izstrādē.</w:t>
      </w:r>
    </w:p>
    <w:p w14:paraId="556BB869" w14:textId="13794B9A" w:rsidR="008A5C85" w:rsidRPr="006D40BA" w:rsidRDefault="008A5C85" w:rsidP="001E20B2">
      <w:pPr>
        <w:numPr>
          <w:ilvl w:val="0"/>
          <w:numId w:val="18"/>
        </w:numPr>
        <w:rPr>
          <w:bCs/>
          <w:iCs/>
        </w:rPr>
      </w:pPr>
      <w:r>
        <w:t xml:space="preserve">Teritoriālie </w:t>
      </w:r>
      <w:r>
        <w:rPr>
          <w:i/>
        </w:rPr>
        <w:t>EER</w:t>
      </w:r>
      <w:r>
        <w:t xml:space="preserve"> mērķi ir saistīti ar </w:t>
      </w:r>
      <w:r>
        <w:rPr>
          <w:b/>
        </w:rPr>
        <w:t>reģionālās attīstības stratēģiju</w:t>
      </w:r>
      <w:r>
        <w:t>.</w:t>
      </w:r>
    </w:p>
    <w:p w14:paraId="208E6778" w14:textId="77777777" w:rsidR="008A5C85" w:rsidRPr="006D40BA" w:rsidRDefault="008A5C85" w:rsidP="001E20B2">
      <w:pPr>
        <w:numPr>
          <w:ilvl w:val="0"/>
          <w:numId w:val="18"/>
        </w:numPr>
        <w:rPr>
          <w:bCs/>
          <w:iCs/>
        </w:rPr>
      </w:pPr>
      <w:r>
        <w:t xml:space="preserve">Kompetentās politiskās struktūras apliecinājušas </w:t>
      </w:r>
      <w:r>
        <w:rPr>
          <w:b/>
        </w:rPr>
        <w:t>stingru un pārliecinošu apņemšanos</w:t>
      </w:r>
      <w:r>
        <w:t xml:space="preserve"> īstenot </w:t>
      </w:r>
      <w:r>
        <w:rPr>
          <w:i/>
        </w:rPr>
        <w:t>EER</w:t>
      </w:r>
      <w:r>
        <w:t xml:space="preserve"> stratēģiju attiecīgajā teritoriālajā vienībā.</w:t>
      </w:r>
    </w:p>
    <w:p w14:paraId="12241979" w14:textId="77777777" w:rsidR="008A5C85" w:rsidRPr="006D40BA" w:rsidRDefault="008A5C85" w:rsidP="001E20B2">
      <w:pPr>
        <w:rPr>
          <w:bCs/>
          <w:iCs/>
          <w:sz w:val="18"/>
        </w:rPr>
      </w:pPr>
    </w:p>
    <w:p w14:paraId="0DF1F740" w14:textId="77777777" w:rsidR="008A5C85" w:rsidRPr="006D40BA" w:rsidRDefault="008A5C85" w:rsidP="00763754">
      <w:pPr>
        <w:pStyle w:val="ListParagraph"/>
        <w:keepNext/>
        <w:numPr>
          <w:ilvl w:val="0"/>
          <w:numId w:val="24"/>
        </w:numPr>
        <w:ind w:left="360"/>
        <w:rPr>
          <w:bCs/>
          <w:iCs/>
        </w:rPr>
      </w:pPr>
      <w:r>
        <w:rPr>
          <w:b/>
        </w:rPr>
        <w:t>Daudzlīmeņu pārvaldība, partnerība un sadarbība</w:t>
      </w:r>
    </w:p>
    <w:p w14:paraId="16A6FFE2" w14:textId="77777777" w:rsidR="008A5C85" w:rsidRPr="006D40BA" w:rsidRDefault="008A5C85" w:rsidP="001E20B2">
      <w:pPr>
        <w:numPr>
          <w:ilvl w:val="0"/>
          <w:numId w:val="19"/>
        </w:numPr>
        <w:contextualSpacing/>
        <w:rPr>
          <w:sz w:val="24"/>
        </w:rPr>
      </w:pPr>
      <w:r>
        <w:rPr>
          <w:i/>
        </w:rPr>
        <w:t>EER</w:t>
      </w:r>
      <w:r>
        <w:t xml:space="preserve"> stratēģiju izstrādā un īsteno saskaņā ar </w:t>
      </w:r>
      <w:r>
        <w:rPr>
          <w:b/>
        </w:rPr>
        <w:t>daudzlīmeņu pārvaldības</w:t>
      </w:r>
      <w:r>
        <w:t xml:space="preserve"> pieeju un iesaistot gan zemāko līmeni (pašvaldības u. c.), gan, ja iespējams, valsts līmeni.</w:t>
      </w:r>
    </w:p>
    <w:p w14:paraId="1FB34C55" w14:textId="77777777" w:rsidR="008A5C85" w:rsidRPr="006D40BA" w:rsidRDefault="008A5C85" w:rsidP="001E20B2">
      <w:pPr>
        <w:numPr>
          <w:ilvl w:val="0"/>
          <w:numId w:val="19"/>
        </w:numPr>
        <w:rPr>
          <w:bCs/>
          <w:iCs/>
        </w:rPr>
      </w:pPr>
      <w:r>
        <w:rPr>
          <w:i/>
        </w:rPr>
        <w:t>EER</w:t>
      </w:r>
      <w:r>
        <w:t xml:space="preserve"> stratēģijas izstrādē un īstenošanā tiek iesaistīts plašs </w:t>
      </w:r>
      <w:r>
        <w:rPr>
          <w:b/>
        </w:rPr>
        <w:t>dalībnieku</w:t>
      </w:r>
      <w:r>
        <w:t xml:space="preserve"> loks, tostarp partneri sociālajā un ekonomikas jomā, mācību un pētniecības iestādes, kā arī pilsoniskā sabiedrība.</w:t>
      </w:r>
    </w:p>
    <w:p w14:paraId="3C841A71" w14:textId="77777777" w:rsidR="008A5C85" w:rsidRPr="006D40BA" w:rsidRDefault="008A5C85" w:rsidP="001E20B2">
      <w:pPr>
        <w:numPr>
          <w:ilvl w:val="0"/>
          <w:numId w:val="20"/>
        </w:numPr>
        <w:rPr>
          <w:bCs/>
          <w:iCs/>
        </w:rPr>
      </w:pPr>
      <w:r>
        <w:t xml:space="preserve">Pausta apņemšanās </w:t>
      </w:r>
      <w:r>
        <w:rPr>
          <w:b/>
        </w:rPr>
        <w:t>dalīties informācijā par labas prakses piemēriem ar citiem reģioniem</w:t>
      </w:r>
      <w:r>
        <w:t xml:space="preserve"> un izstrādāt īpašas </w:t>
      </w:r>
      <w:r>
        <w:rPr>
          <w:b/>
        </w:rPr>
        <w:t>iniciatīvas</w:t>
      </w:r>
      <w:r>
        <w:t xml:space="preserve"> </w:t>
      </w:r>
      <w:r>
        <w:rPr>
          <w:b/>
        </w:rPr>
        <w:t xml:space="preserve">sadarbībai ar citiem </w:t>
      </w:r>
      <w:r>
        <w:rPr>
          <w:b/>
          <w:i/>
        </w:rPr>
        <w:t>EER</w:t>
      </w:r>
      <w:r>
        <w:rPr>
          <w:b/>
        </w:rPr>
        <w:t xml:space="preserve"> reģioniem</w:t>
      </w:r>
      <w:r>
        <w:t>.</w:t>
      </w:r>
    </w:p>
    <w:p w14:paraId="32F7386B" w14:textId="77777777" w:rsidR="008A5C85" w:rsidRPr="006D40BA" w:rsidRDefault="008A5C85" w:rsidP="001E20B2">
      <w:pPr>
        <w:tabs>
          <w:tab w:val="num" w:pos="770"/>
        </w:tabs>
        <w:rPr>
          <w:bCs/>
          <w:iCs/>
          <w:sz w:val="18"/>
        </w:rPr>
      </w:pPr>
    </w:p>
    <w:p w14:paraId="513C32C4" w14:textId="77777777" w:rsidR="008A5C85" w:rsidRPr="006D40BA" w:rsidRDefault="008A5C85" w:rsidP="00763754">
      <w:pPr>
        <w:pStyle w:val="ListParagraph"/>
        <w:keepNext/>
        <w:numPr>
          <w:ilvl w:val="0"/>
          <w:numId w:val="24"/>
        </w:numPr>
        <w:ind w:left="360"/>
        <w:rPr>
          <w:bCs/>
          <w:iCs/>
        </w:rPr>
      </w:pPr>
      <w:r>
        <w:rPr>
          <w:b/>
        </w:rPr>
        <w:t>Īstenošana</w:t>
      </w:r>
    </w:p>
    <w:p w14:paraId="0D747780" w14:textId="77777777" w:rsidR="008A5C85" w:rsidRPr="006D40BA" w:rsidRDefault="008A5C85" w:rsidP="001E20B2">
      <w:pPr>
        <w:numPr>
          <w:ilvl w:val="0"/>
          <w:numId w:val="21"/>
        </w:numPr>
        <w:rPr>
          <w:bCs/>
          <w:iCs/>
        </w:rPr>
      </w:pPr>
      <w:r>
        <w:t xml:space="preserve">Stratēģijā iekļauti </w:t>
      </w:r>
      <w:r>
        <w:rPr>
          <w:b/>
        </w:rPr>
        <w:t>konkrēti pasākumi</w:t>
      </w:r>
      <w:r>
        <w:t xml:space="preserve">, kā, izmantojot </w:t>
      </w:r>
      <w:r>
        <w:rPr>
          <w:i/>
        </w:rPr>
        <w:t>EER</w:t>
      </w:r>
      <w:r>
        <w:t xml:space="preserve"> programmu, tiks īstenoti MUA principi, kuri atbilst teritoriālās vienības kompetencei, un </w:t>
      </w:r>
      <w:r>
        <w:rPr>
          <w:b/>
        </w:rPr>
        <w:t>tā nav vienīgi pašreizējo politikas pasākumu sintēze</w:t>
      </w:r>
      <w:r>
        <w:t>.</w:t>
      </w:r>
    </w:p>
    <w:p w14:paraId="48192B5D" w14:textId="77777777" w:rsidR="008A5C85" w:rsidRPr="006D40BA" w:rsidRDefault="008A5C85" w:rsidP="001E20B2">
      <w:pPr>
        <w:numPr>
          <w:ilvl w:val="0"/>
          <w:numId w:val="21"/>
        </w:numPr>
        <w:rPr>
          <w:bCs/>
          <w:iCs/>
        </w:rPr>
      </w:pPr>
      <w:r>
        <w:rPr>
          <w:i/>
        </w:rPr>
        <w:t>EER</w:t>
      </w:r>
      <w:r>
        <w:t xml:space="preserve"> pasākumu īstenošanā ņem vērā labas pārvaldības principus un iekļauj efektīvus </w:t>
      </w:r>
      <w:r>
        <w:rPr>
          <w:b/>
        </w:rPr>
        <w:t>uzraudzības un turpmākās rīcības mehānismus</w:t>
      </w:r>
      <w:r>
        <w:t>.</w:t>
      </w:r>
    </w:p>
    <w:p w14:paraId="08A15BAA" w14:textId="77777777" w:rsidR="008A5C85" w:rsidRPr="006D40BA" w:rsidRDefault="008A5C85" w:rsidP="001E20B2">
      <w:pPr>
        <w:numPr>
          <w:ilvl w:val="0"/>
          <w:numId w:val="21"/>
        </w:numPr>
        <w:rPr>
          <w:bCs/>
          <w:iCs/>
          <w:sz w:val="24"/>
        </w:rPr>
      </w:pPr>
      <w:r>
        <w:t xml:space="preserve">Ir paredzēti </w:t>
      </w:r>
      <w:r>
        <w:rPr>
          <w:b/>
        </w:rPr>
        <w:t>rādītāji</w:t>
      </w:r>
      <w:r>
        <w:t xml:space="preserve"> īstenošanas progresa novērtēšanai.</w:t>
      </w:r>
    </w:p>
    <w:p w14:paraId="31464A2C" w14:textId="77777777" w:rsidR="008A5C85" w:rsidRPr="006D40BA" w:rsidRDefault="008A5C85" w:rsidP="001E20B2">
      <w:pPr>
        <w:numPr>
          <w:ilvl w:val="0"/>
          <w:numId w:val="21"/>
        </w:numPr>
        <w:rPr>
          <w:bCs/>
          <w:iCs/>
          <w:sz w:val="24"/>
        </w:rPr>
      </w:pPr>
      <w:r>
        <w:t xml:space="preserve">Pieteikumā iekļauti pasākumi, kas nodrošina </w:t>
      </w:r>
      <w:r>
        <w:rPr>
          <w:b/>
        </w:rPr>
        <w:t>Eiropas struktūrfondu, ieguldījumu</w:t>
      </w:r>
      <w:r>
        <w:t xml:space="preserve"> </w:t>
      </w:r>
      <w:r>
        <w:rPr>
          <w:b/>
        </w:rPr>
        <w:t>fondu</w:t>
      </w:r>
      <w:r>
        <w:t xml:space="preserve"> un citu valsts sektora līdzekļu optimālu izmantošanu.</w:t>
      </w:r>
    </w:p>
    <w:p w14:paraId="70984369" w14:textId="77777777" w:rsidR="008A5C85" w:rsidRPr="006D40BA" w:rsidRDefault="008A5C85" w:rsidP="001E20B2">
      <w:pPr>
        <w:numPr>
          <w:ilvl w:val="0"/>
          <w:numId w:val="21"/>
        </w:numPr>
        <w:rPr>
          <w:bCs/>
          <w:iCs/>
        </w:rPr>
      </w:pPr>
      <w:r>
        <w:t xml:space="preserve">Pieteikumā parādīts, kādā veidā </w:t>
      </w:r>
      <w:r>
        <w:rPr>
          <w:i/>
        </w:rPr>
        <w:t>EER</w:t>
      </w:r>
      <w:r>
        <w:t xml:space="preserve"> pasākumiem būs </w:t>
      </w:r>
      <w:r>
        <w:rPr>
          <w:b/>
        </w:rPr>
        <w:t xml:space="preserve">ilglaicīga ietekme pēc </w:t>
      </w:r>
      <w:r>
        <w:rPr>
          <w:b/>
          <w:i/>
        </w:rPr>
        <w:t>EER</w:t>
      </w:r>
      <w:r>
        <w:rPr>
          <w:b/>
        </w:rPr>
        <w:t xml:space="preserve"> gada.</w:t>
      </w:r>
    </w:p>
    <w:p w14:paraId="1C5F13A6" w14:textId="77777777" w:rsidR="008A5C85" w:rsidRPr="006D40BA" w:rsidRDefault="008A5C85" w:rsidP="001E20B2">
      <w:pPr>
        <w:numPr>
          <w:ilvl w:val="0"/>
          <w:numId w:val="21"/>
        </w:numPr>
        <w:rPr>
          <w:bCs/>
          <w:iCs/>
        </w:rPr>
      </w:pPr>
      <w:r>
        <w:t xml:space="preserve">Kad vien iespējams, plānotajos pasākumos ņemta vērā MVU politikas </w:t>
      </w:r>
      <w:r>
        <w:rPr>
          <w:b/>
        </w:rPr>
        <w:t>sociālā, vides, inovācijas un noturīgu izaugsmi veicinošā</w:t>
      </w:r>
      <w:r>
        <w:t xml:space="preserve"> dimensija.</w:t>
      </w:r>
    </w:p>
    <w:p w14:paraId="06818E91" w14:textId="77777777" w:rsidR="008A5C85" w:rsidRPr="006D40BA" w:rsidRDefault="008A5C85" w:rsidP="001E20B2">
      <w:pPr>
        <w:tabs>
          <w:tab w:val="num" w:pos="770"/>
        </w:tabs>
        <w:rPr>
          <w:bCs/>
          <w:iCs/>
          <w:sz w:val="18"/>
        </w:rPr>
      </w:pPr>
    </w:p>
    <w:p w14:paraId="3346FA30" w14:textId="77777777" w:rsidR="008A5C85" w:rsidRPr="006D40BA" w:rsidRDefault="008A5C85" w:rsidP="00763754">
      <w:pPr>
        <w:pStyle w:val="ListParagraph"/>
        <w:keepNext/>
        <w:numPr>
          <w:ilvl w:val="0"/>
          <w:numId w:val="24"/>
        </w:numPr>
        <w:ind w:left="360"/>
        <w:rPr>
          <w:bCs/>
          <w:iCs/>
        </w:rPr>
      </w:pPr>
      <w:r>
        <w:rPr>
          <w:b/>
        </w:rPr>
        <w:t>Saziņa</w:t>
      </w:r>
    </w:p>
    <w:p w14:paraId="44F8CF0A" w14:textId="77777777" w:rsidR="008A5C85" w:rsidRPr="006D40BA" w:rsidRDefault="008A5C85" w:rsidP="001E20B2">
      <w:pPr>
        <w:numPr>
          <w:ilvl w:val="0"/>
          <w:numId w:val="22"/>
        </w:numPr>
        <w:rPr>
          <w:bCs/>
          <w:iCs/>
        </w:rPr>
      </w:pPr>
      <w:r>
        <w:t xml:space="preserve">Pieteikumā iekļauts vērienīgs un pārliecinošs </w:t>
      </w:r>
      <w:r>
        <w:rPr>
          <w:b/>
        </w:rPr>
        <w:t>komunikācijas plāns</w:t>
      </w:r>
      <w:r>
        <w:t xml:space="preserve">, kas ietver konkrētus pasākumus </w:t>
      </w:r>
      <w:r>
        <w:rPr>
          <w:b/>
        </w:rPr>
        <w:t>augstākajā līmenī</w:t>
      </w:r>
      <w:r>
        <w:t xml:space="preserve">, kuri paredzēti visām </w:t>
      </w:r>
      <w:r>
        <w:rPr>
          <w:b/>
        </w:rPr>
        <w:t>galvenajām mērķa grupām</w:t>
      </w:r>
      <w:r>
        <w:t xml:space="preserve"> (tostarp MVU un citiem dalībniekiem).</w:t>
      </w:r>
    </w:p>
    <w:p w14:paraId="182B970A" w14:textId="77777777" w:rsidR="008A5C85" w:rsidRPr="006D40BA" w:rsidRDefault="008A5C85" w:rsidP="001E20B2">
      <w:pPr>
        <w:numPr>
          <w:ilvl w:val="0"/>
          <w:numId w:val="22"/>
        </w:numPr>
        <w:rPr>
          <w:bCs/>
          <w:iCs/>
        </w:rPr>
      </w:pPr>
      <w:r>
        <w:rPr>
          <w:b/>
          <w:i/>
        </w:rPr>
        <w:t>EER</w:t>
      </w:r>
      <w:r>
        <w:rPr>
          <w:b/>
        </w:rPr>
        <w:t xml:space="preserve"> izcilības zīme</w:t>
      </w:r>
      <w:r>
        <w:t xml:space="preserve"> tiks izmantota, lai popularizētu teritoriālās vienības politiku gan tās robežās, gan ES līmenī.</w:t>
      </w:r>
    </w:p>
    <w:p w14:paraId="5B4E1D65" w14:textId="77777777" w:rsidR="008A5C85" w:rsidRPr="006D40BA" w:rsidRDefault="008A5C85" w:rsidP="001E20B2">
      <w:pPr>
        <w:numPr>
          <w:ilvl w:val="0"/>
          <w:numId w:val="22"/>
        </w:numPr>
        <w:rPr>
          <w:bCs/>
          <w:iCs/>
        </w:rPr>
      </w:pPr>
      <w:r>
        <w:t xml:space="preserve">Plānotie komunikācijas pasākumi </w:t>
      </w:r>
      <w:r>
        <w:rPr>
          <w:b/>
        </w:rPr>
        <w:t>popularizēs Eiropas Savienību un Reģionu komiteju</w:t>
      </w:r>
      <w:r>
        <w:t>.</w:t>
      </w:r>
    </w:p>
    <w:p w14:paraId="5ECA7F76" w14:textId="77777777" w:rsidR="008A5C85" w:rsidRPr="006D40BA" w:rsidRDefault="008A5C85" w:rsidP="001E20B2"/>
    <w:p w14:paraId="1988AE8E" w14:textId="77777777" w:rsidR="008A5C85" w:rsidRPr="00982305" w:rsidRDefault="008A5C85" w:rsidP="001E20B2">
      <w:pPr>
        <w:keepNext/>
        <w:rPr>
          <w:b/>
        </w:rPr>
      </w:pPr>
      <w:r>
        <w:rPr>
          <w:b/>
        </w:rPr>
        <w:t>Līdzdalības nosacījumi</w:t>
      </w:r>
    </w:p>
    <w:p w14:paraId="2B9D4B83" w14:textId="77777777" w:rsidR="008A5C85" w:rsidRPr="006D40BA" w:rsidRDefault="008A5C85" w:rsidP="001E20B2">
      <w:pPr>
        <w:keepNext/>
      </w:pPr>
    </w:p>
    <w:p w14:paraId="4C66B6D5" w14:textId="77777777" w:rsidR="008A5C85" w:rsidRPr="006D40BA" w:rsidRDefault="008A5C85" w:rsidP="001E20B2">
      <w:r>
        <w:t xml:space="preserve">Uz </w:t>
      </w:r>
      <w:r>
        <w:rPr>
          <w:i/>
        </w:rPr>
        <w:t>EER</w:t>
      </w:r>
      <w:r>
        <w:t xml:space="preserve"> izcilības zīmi var pretendēt jebkura par ES dalībvalsti mazāka teritoriāla vienība neatkarīgi no tās lieluma, labklājības vai specifiskajām pilnvarām, ja tai politiskā līmenī ir pilnvaras un ja tā spēj īstenot visaptverošu redzējumu uzņēmējdarbības jomā. Nav svarīgi, vai teritoriālajai vienībai ir likumdošanas pilnvaras. </w:t>
      </w:r>
      <w:r>
        <w:rPr>
          <w:i/>
        </w:rPr>
        <w:t>EER</w:t>
      </w:r>
      <w:r>
        <w:t xml:space="preserve"> žūrija ņem vērā katra kandidāta budžetu, specifiskās strukturālās vai teritoriālās problēmas, kā arī sākotnējos ekonomiskos rādītājus. Uz izcilības zīmi var pieteikties gan </w:t>
      </w:r>
      <w:r>
        <w:lastRenderedPageBreak/>
        <w:t>jau sekmīgas teritoriālas vienības, gan tās, kuras šobrīd atpaliek, bet ir apņēmušās īstenot vajadzīgās pārmaiņas uzņēmējdarbības potenciāla attīstīšanai.</w:t>
      </w:r>
    </w:p>
    <w:p w14:paraId="1B80E5D8" w14:textId="77777777" w:rsidR="008A5C85" w:rsidRPr="006D40BA" w:rsidRDefault="008A5C85" w:rsidP="001E20B2"/>
    <w:p w14:paraId="3AFE487D" w14:textId="680B2BF1" w:rsidR="008A5C85" w:rsidRPr="006D40BA" w:rsidRDefault="008A5C85" w:rsidP="001E20B2">
      <w:r>
        <w:t xml:space="preserve">Jēdziens “reģioni” jāsaprot visplašākajā nozīmē, t. i., kopienas, autonomie apgabali, departamenti, federālās zemes, provinces, grāfistes, metropoļu reģioni, lielpilsētas, kā arī pārrobežu teritoriālas vienības ar juridiskas personas statusu, piemēram, ETSG un </w:t>
      </w:r>
      <w:proofErr w:type="spellStart"/>
      <w:r>
        <w:t>eiroreģioni</w:t>
      </w:r>
      <w:proofErr w:type="spellEnd"/>
      <w:r>
        <w:t>. Pieteikumus izskata vienīgi no tādiem reģioniem, kuriem ir nepieciešamā politiskā kompetence īstenot visaptverošu politikas stratēģiju, lai integrētu dažus vai visus MUA principus. Īpaši tiks gaidīti pilsētu un pārrobežu reģionu pieteikumi.</w:t>
      </w:r>
    </w:p>
    <w:p w14:paraId="482FC604" w14:textId="77777777" w:rsidR="00CD2877" w:rsidRPr="006D40BA" w:rsidRDefault="00CD2877" w:rsidP="001E20B2"/>
    <w:p w14:paraId="6BCC62CA" w14:textId="77777777" w:rsidR="00D07992" w:rsidRPr="00982305" w:rsidRDefault="00D56B68" w:rsidP="001E20B2">
      <w:pPr>
        <w:keepNext/>
      </w:pPr>
      <w:r>
        <w:rPr>
          <w:b/>
        </w:rPr>
        <w:t>Grafiks</w:t>
      </w:r>
    </w:p>
    <w:p w14:paraId="1AF6C956" w14:textId="77777777" w:rsidR="006F74DC" w:rsidRPr="006D40BA" w:rsidRDefault="006F74DC" w:rsidP="001E20B2">
      <w:pPr>
        <w:keepNext/>
      </w:pPr>
    </w:p>
    <w:tbl>
      <w:tblPr>
        <w:tblW w:w="8884" w:type="dxa"/>
        <w:tblLook w:val="04A0" w:firstRow="1" w:lastRow="0" w:firstColumn="1" w:lastColumn="0" w:noHBand="0" w:noVBand="1"/>
      </w:tblPr>
      <w:tblGrid>
        <w:gridCol w:w="2376"/>
        <w:gridCol w:w="6508"/>
      </w:tblGrid>
      <w:tr w:rsidR="00924A7A" w14:paraId="38C5BD4F" w14:textId="77777777">
        <w:tc>
          <w:tcPr>
            <w:tcW w:w="2376" w:type="dxa"/>
          </w:tcPr>
          <w:p w14:paraId="08969594" w14:textId="2492C231" w:rsidR="00C12E76" w:rsidRPr="006D40BA" w:rsidRDefault="00FD332F" w:rsidP="00A545FA">
            <w:pPr>
              <w:numPr>
                <w:ilvl w:val="0"/>
                <w:numId w:val="11"/>
              </w:numPr>
              <w:tabs>
                <w:tab w:val="clear" w:pos="0"/>
              </w:tabs>
            </w:pPr>
            <w:r>
              <w:t>2018. gada 19. novembris:</w:t>
            </w:r>
          </w:p>
        </w:tc>
        <w:tc>
          <w:tcPr>
            <w:tcW w:w="6508" w:type="dxa"/>
            <w:shd w:val="clear" w:color="auto" w:fill="auto"/>
          </w:tcPr>
          <w:p w14:paraId="13F4FE20" w14:textId="5810A82A" w:rsidR="00C12E76" w:rsidRPr="006D40BA" w:rsidRDefault="00C12E76" w:rsidP="00FD332F">
            <w:r>
              <w:t>uzaicinājums iesniegt pieteikumus konkursam “</w:t>
            </w:r>
            <w:r>
              <w:rPr>
                <w:i/>
              </w:rPr>
              <w:t>EER</w:t>
            </w:r>
            <w:r>
              <w:t> 2020”.</w:t>
            </w:r>
          </w:p>
        </w:tc>
      </w:tr>
      <w:tr w:rsidR="00924A7A" w14:paraId="4973D005" w14:textId="77777777">
        <w:tc>
          <w:tcPr>
            <w:tcW w:w="2376" w:type="dxa"/>
          </w:tcPr>
          <w:p w14:paraId="14FC5592" w14:textId="5FEC183E" w:rsidR="00C12E76" w:rsidRPr="006D40BA" w:rsidRDefault="00FD332F" w:rsidP="00FD332F">
            <w:pPr>
              <w:numPr>
                <w:ilvl w:val="0"/>
                <w:numId w:val="11"/>
              </w:numPr>
              <w:tabs>
                <w:tab w:val="clear" w:pos="0"/>
              </w:tabs>
            </w:pPr>
            <w:r>
              <w:t>2019. gada 27. marts:</w:t>
            </w:r>
          </w:p>
        </w:tc>
        <w:tc>
          <w:tcPr>
            <w:tcW w:w="6508" w:type="dxa"/>
            <w:shd w:val="clear" w:color="auto" w:fill="auto"/>
          </w:tcPr>
          <w:p w14:paraId="2F6B7BA9" w14:textId="77777777" w:rsidR="00C12E76" w:rsidRPr="006D40BA" w:rsidRDefault="00C12E76" w:rsidP="001E20B2">
            <w:r>
              <w:t>pieteikumu iesniegšanas termiņš.</w:t>
            </w:r>
          </w:p>
        </w:tc>
      </w:tr>
      <w:tr w:rsidR="00924A7A" w14:paraId="055C57BA" w14:textId="77777777">
        <w:tc>
          <w:tcPr>
            <w:tcW w:w="2376" w:type="dxa"/>
          </w:tcPr>
          <w:p w14:paraId="7B00308C" w14:textId="05E264D1" w:rsidR="00C12E76" w:rsidRPr="006D40BA" w:rsidRDefault="00FD332F" w:rsidP="00A545FA">
            <w:pPr>
              <w:numPr>
                <w:ilvl w:val="0"/>
                <w:numId w:val="11"/>
              </w:numPr>
              <w:tabs>
                <w:tab w:val="clear" w:pos="0"/>
              </w:tabs>
            </w:pPr>
            <w:r>
              <w:t>2019. gada 25.–26. jūnijs:</w:t>
            </w:r>
          </w:p>
        </w:tc>
        <w:tc>
          <w:tcPr>
            <w:tcW w:w="6508" w:type="dxa"/>
            <w:shd w:val="clear" w:color="auto" w:fill="auto"/>
          </w:tcPr>
          <w:p w14:paraId="515357CE" w14:textId="1D888F89" w:rsidR="00C12E76" w:rsidRPr="006D40BA" w:rsidRDefault="00C12E76" w:rsidP="00FD332F">
            <w:r>
              <w:t>“</w:t>
            </w:r>
            <w:r>
              <w:rPr>
                <w:i/>
              </w:rPr>
              <w:t>EER</w:t>
            </w:r>
            <w:r>
              <w:t> 2020” balvas pasniegšanas ceremonija.</w:t>
            </w:r>
          </w:p>
        </w:tc>
      </w:tr>
    </w:tbl>
    <w:p w14:paraId="429E1E89" w14:textId="77777777" w:rsidR="006F74DC" w:rsidRPr="006D40BA" w:rsidRDefault="006F74DC" w:rsidP="001E20B2"/>
    <w:p w14:paraId="47064ECD" w14:textId="68605732" w:rsidR="00D56B68" w:rsidRPr="006D40BA" w:rsidRDefault="00D56B68" w:rsidP="001E20B2">
      <w:pPr>
        <w:pBdr>
          <w:top w:val="single" w:sz="12" w:space="1" w:color="auto"/>
          <w:left w:val="single" w:sz="12" w:space="4" w:color="auto"/>
          <w:bottom w:val="single" w:sz="12" w:space="1" w:color="auto"/>
          <w:right w:val="single" w:sz="12" w:space="4" w:color="auto"/>
        </w:pBdr>
        <w:jc w:val="center"/>
        <w:rPr>
          <w:i/>
        </w:rPr>
      </w:pPr>
      <w:r>
        <w:t>Pieteikumus “</w:t>
      </w:r>
      <w:r>
        <w:rPr>
          <w:i/>
        </w:rPr>
        <w:t>EER</w:t>
      </w:r>
      <w:r>
        <w:t xml:space="preserve"> 2020” izcilības zīmes konkursam kopā ar politiskās apņemšanās apliecinājumu lūdzam iesniegt, nosūtot tos uz e-pasta adresi: </w:t>
      </w:r>
      <w:hyperlink r:id="rId17">
        <w:r>
          <w:rPr>
            <w:rStyle w:val="Hyperlink"/>
            <w:i/>
          </w:rPr>
          <w:t>eer-cdr@cor.europa.eu</w:t>
        </w:r>
      </w:hyperlink>
      <w:r>
        <w:t>.</w:t>
      </w:r>
    </w:p>
    <w:p w14:paraId="5809F0ED" w14:textId="7AD74E37" w:rsidR="00D56B68" w:rsidRPr="006D40BA" w:rsidRDefault="00D56B68" w:rsidP="001E20B2">
      <w:pPr>
        <w:pBdr>
          <w:top w:val="single" w:sz="12" w:space="1" w:color="auto"/>
          <w:left w:val="single" w:sz="12" w:space="4" w:color="auto"/>
          <w:bottom w:val="single" w:sz="12" w:space="1" w:color="auto"/>
          <w:right w:val="single" w:sz="12" w:space="4" w:color="auto"/>
        </w:pBdr>
        <w:jc w:val="center"/>
        <w:rPr>
          <w:b/>
          <w:i/>
        </w:rPr>
      </w:pPr>
      <w:r>
        <w:rPr>
          <w:b/>
          <w:i/>
        </w:rPr>
        <w:t>Pieteikumu iesniegšanas termiņš: trešdiena, 2018. gada 27. marts.</w:t>
      </w:r>
    </w:p>
    <w:p w14:paraId="106CA7DD" w14:textId="77777777" w:rsidR="00CD2877" w:rsidRPr="006D40BA" w:rsidRDefault="00CD2877" w:rsidP="001E20B2">
      <w:pPr>
        <w:suppressAutoHyphens/>
      </w:pPr>
    </w:p>
    <w:p w14:paraId="64DD201C" w14:textId="77777777" w:rsidR="00912D00" w:rsidRDefault="00912D00" w:rsidP="001E20B2">
      <w:pPr>
        <w:tabs>
          <w:tab w:val="left" w:pos="2127"/>
        </w:tabs>
        <w:suppressAutoHyphens/>
      </w:pPr>
      <w:r>
        <w:t xml:space="preserve">Plašāka informācija pieejama: </w:t>
      </w:r>
    </w:p>
    <w:bookmarkStart w:id="0" w:name="_GoBack"/>
    <w:bookmarkEnd w:id="0"/>
    <w:p w14:paraId="3370951D" w14:textId="1225B215" w:rsidR="00442D4F" w:rsidRPr="006D40BA" w:rsidRDefault="00912D00" w:rsidP="001E20B2">
      <w:pPr>
        <w:tabs>
          <w:tab w:val="left" w:pos="2127"/>
        </w:tabs>
        <w:suppressAutoHyphens/>
      </w:pPr>
      <w:r>
        <w:fldChar w:fldCharType="begin"/>
      </w:r>
      <w:r>
        <w:instrText xml:space="preserve"> HYPERLINK "</w:instrText>
      </w:r>
      <w:r w:rsidRPr="00912D00">
        <w:instrText>https://cor.europa.eu/en/engage/Pages/european-entrepreneurial-region.aspx</w:instrText>
      </w:r>
      <w:r>
        <w:instrText xml:space="preserve">" </w:instrText>
      </w:r>
      <w:r>
        <w:fldChar w:fldCharType="separate"/>
      </w:r>
      <w:r w:rsidRPr="00D93A80">
        <w:rPr>
          <w:rStyle w:val="Hyperlink"/>
        </w:rPr>
        <w:t>https://cor.europa.eu/en/engage/Pages/european-entrepreneurial-region.aspx</w:t>
      </w:r>
      <w:r>
        <w:fldChar w:fldCharType="end"/>
      </w:r>
      <w:r>
        <w:t xml:space="preserve"> </w:t>
      </w:r>
    </w:p>
    <w:p w14:paraId="01154C7C" w14:textId="2BC2A267" w:rsidR="005118E0" w:rsidRPr="006D40BA" w:rsidRDefault="005118E0" w:rsidP="001E20B2">
      <w:pPr>
        <w:tabs>
          <w:tab w:val="left" w:pos="2127"/>
        </w:tabs>
        <w:suppressAutoHyphens/>
        <w:ind w:left="2127"/>
      </w:pPr>
    </w:p>
    <w:p w14:paraId="2923E772" w14:textId="77777777" w:rsidR="00F31B2A" w:rsidRPr="006D40BA" w:rsidRDefault="00F31B2A" w:rsidP="00F31B2A">
      <w:pPr>
        <w:jc w:val="center"/>
      </w:pPr>
      <w:r>
        <w:t>_____________</w:t>
      </w:r>
    </w:p>
    <w:sectPr w:rsidR="00F31B2A" w:rsidRPr="006D40BA" w:rsidSect="007740F3">
      <w:footerReference w:type="default" r:id="rId18"/>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1FE9B" w14:textId="77777777" w:rsidR="0008099C" w:rsidRPr="00530F79" w:rsidRDefault="0008099C">
      <w:pPr>
        <w:rPr>
          <w:sz w:val="21"/>
          <w:szCs w:val="21"/>
        </w:rPr>
      </w:pPr>
      <w:r w:rsidRPr="00530F79">
        <w:rPr>
          <w:sz w:val="21"/>
          <w:szCs w:val="21"/>
        </w:rPr>
        <w:separator/>
      </w:r>
    </w:p>
  </w:endnote>
  <w:endnote w:type="continuationSeparator" w:id="0">
    <w:p w14:paraId="06BED94A" w14:textId="77777777" w:rsidR="0008099C" w:rsidRPr="00530F79" w:rsidRDefault="0008099C">
      <w:pPr>
        <w:rPr>
          <w:sz w:val="21"/>
          <w:szCs w:val="21"/>
        </w:rPr>
      </w:pPr>
      <w:r w:rsidRPr="00530F79">
        <w:rPr>
          <w:sz w:val="21"/>
          <w:szCs w:val="21"/>
        </w:rPr>
        <w:continuationSeparator/>
      </w:r>
    </w:p>
  </w:endnote>
  <w:endnote w:type="continuationNotice" w:id="1">
    <w:p w14:paraId="114FFA8C" w14:textId="77777777" w:rsidR="0008099C" w:rsidRDefault="000809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0440C" w14:textId="13EB4983" w:rsidR="00844AA3" w:rsidRPr="007740F3" w:rsidRDefault="007740F3" w:rsidP="007740F3">
    <w:pPr>
      <w:pStyle w:val="Footer"/>
    </w:pPr>
    <w:r>
      <w:t xml:space="preserve">COR-2017-05407-00-01-ADMIN-TRA (EN) </w:t>
    </w:r>
    <w:r>
      <w:fldChar w:fldCharType="begin"/>
    </w:r>
    <w:r>
      <w:instrText xml:space="preserve"> PAGE  \* Arabic  \* MERGEFORMAT </w:instrText>
    </w:r>
    <w:r>
      <w:fldChar w:fldCharType="separate"/>
    </w:r>
    <w:r w:rsidR="00912D00">
      <w:rPr>
        <w:noProof/>
      </w:rPr>
      <w:t>4</w:t>
    </w:r>
    <w:r>
      <w:fldChar w:fldCharType="end"/>
    </w:r>
    <w:r>
      <w:t>/</w:t>
    </w:r>
    <w:r>
      <w:fldChar w:fldCharType="begin"/>
    </w:r>
    <w:r>
      <w:instrText xml:space="preserve"> = </w:instrText>
    </w:r>
    <w:r w:rsidR="00E90968">
      <w:rPr>
        <w:noProof/>
      </w:rPr>
      <w:fldChar w:fldCharType="begin"/>
    </w:r>
    <w:r w:rsidR="00E90968">
      <w:rPr>
        <w:noProof/>
      </w:rPr>
      <w:instrText xml:space="preserve"> NUMPAGES </w:instrText>
    </w:r>
    <w:r w:rsidR="00E90968">
      <w:rPr>
        <w:noProof/>
      </w:rPr>
      <w:fldChar w:fldCharType="separate"/>
    </w:r>
    <w:r w:rsidR="00912D00">
      <w:rPr>
        <w:noProof/>
      </w:rPr>
      <w:instrText>4</w:instrText>
    </w:r>
    <w:r w:rsidR="00E90968">
      <w:rPr>
        <w:noProof/>
      </w:rPr>
      <w:fldChar w:fldCharType="end"/>
    </w:r>
    <w:r>
      <w:instrText xml:space="preserve"> </w:instrText>
    </w:r>
    <w:r>
      <w:fldChar w:fldCharType="separate"/>
    </w:r>
    <w:r w:rsidR="00912D0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85392" w14:textId="77777777" w:rsidR="0008099C" w:rsidRPr="00530F79" w:rsidRDefault="0008099C">
      <w:pPr>
        <w:rPr>
          <w:sz w:val="21"/>
          <w:szCs w:val="21"/>
        </w:rPr>
      </w:pPr>
      <w:r w:rsidRPr="00530F79">
        <w:rPr>
          <w:sz w:val="21"/>
          <w:szCs w:val="21"/>
        </w:rPr>
        <w:separator/>
      </w:r>
    </w:p>
  </w:footnote>
  <w:footnote w:type="continuationSeparator" w:id="0">
    <w:p w14:paraId="06FAAE28" w14:textId="77777777" w:rsidR="0008099C" w:rsidRPr="00530F79" w:rsidRDefault="0008099C">
      <w:pPr>
        <w:rPr>
          <w:sz w:val="21"/>
          <w:szCs w:val="21"/>
        </w:rPr>
      </w:pPr>
      <w:r w:rsidRPr="00530F79">
        <w:rPr>
          <w:sz w:val="21"/>
          <w:szCs w:val="21"/>
        </w:rPr>
        <w:continuationSeparator/>
      </w:r>
    </w:p>
  </w:footnote>
  <w:footnote w:type="continuationNotice" w:id="1">
    <w:p w14:paraId="180AB533" w14:textId="77777777" w:rsidR="0008099C" w:rsidRDefault="0008099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2"/>
    <w:multiLevelType w:val="singleLevel"/>
    <w:tmpl w:val="00000002"/>
    <w:name w:val="WW8Num2"/>
    <w:lvl w:ilvl="0">
      <w:start w:val="3"/>
      <w:numFmt w:val="bullet"/>
      <w:lvlText w:val="-"/>
      <w:lvlJc w:val="left"/>
      <w:pPr>
        <w:tabs>
          <w:tab w:val="num" w:pos="1800"/>
        </w:tabs>
        <w:ind w:left="1800" w:hanging="360"/>
      </w:pPr>
      <w:rPr>
        <w:rFonts w:ascii="Times New Roman" w:hAnsi="Times New Roman"/>
        <w:b/>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DF29BB"/>
    <w:multiLevelType w:val="hybridMultilevel"/>
    <w:tmpl w:val="29727486"/>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027FED"/>
    <w:multiLevelType w:val="hybridMultilevel"/>
    <w:tmpl w:val="08D664A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83316E"/>
    <w:multiLevelType w:val="hybridMultilevel"/>
    <w:tmpl w:val="0BFAF9CA"/>
    <w:lvl w:ilvl="0" w:tplc="080C0005">
      <w:start w:val="1"/>
      <w:numFmt w:val="bullet"/>
      <w:lvlText w:val=""/>
      <w:lvlJc w:val="left"/>
      <w:pPr>
        <w:tabs>
          <w:tab w:val="num" w:pos="0"/>
        </w:tabs>
        <w:ind w:left="369" w:hanging="369"/>
      </w:pPr>
      <w:rPr>
        <w:rFonts w:ascii="Wingdings" w:hAnsi="Wingding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6C4FBF"/>
    <w:multiLevelType w:val="hybridMultilevel"/>
    <w:tmpl w:val="9F364B66"/>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67311F"/>
    <w:multiLevelType w:val="hybridMultilevel"/>
    <w:tmpl w:val="662065C0"/>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3125B3"/>
    <w:multiLevelType w:val="hybridMultilevel"/>
    <w:tmpl w:val="E2601DAC"/>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AE7A9B"/>
    <w:multiLevelType w:val="hybridMultilevel"/>
    <w:tmpl w:val="D96460FE"/>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AF22E5"/>
    <w:multiLevelType w:val="hybridMultilevel"/>
    <w:tmpl w:val="B07C0C94"/>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985BB6"/>
    <w:multiLevelType w:val="hybridMultilevel"/>
    <w:tmpl w:val="4ABEAC6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7480DFE"/>
    <w:multiLevelType w:val="hybridMultilevel"/>
    <w:tmpl w:val="DE54F7A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7EB1D08"/>
    <w:multiLevelType w:val="hybridMultilevel"/>
    <w:tmpl w:val="F13E83F0"/>
    <w:lvl w:ilvl="0" w:tplc="C22A545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B671724"/>
    <w:multiLevelType w:val="hybridMultilevel"/>
    <w:tmpl w:val="D5BE6BA2"/>
    <w:lvl w:ilvl="0" w:tplc="2A34915A">
      <w:start w:val="1"/>
      <w:numFmt w:val="bullet"/>
      <w:lvlText w:val=""/>
      <w:lvlJc w:val="left"/>
      <w:pPr>
        <w:tabs>
          <w:tab w:val="num" w:pos="360"/>
        </w:tabs>
        <w:ind w:left="751" w:hanging="391"/>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6E3E7CB5"/>
    <w:multiLevelType w:val="hybridMultilevel"/>
    <w:tmpl w:val="A2CA9FF0"/>
    <w:lvl w:ilvl="0" w:tplc="CB82E988">
      <w:start w:val="6"/>
      <w:numFmt w:val="decimal"/>
      <w:lvlText w:val="%1)"/>
      <w:lvlJc w:val="left"/>
      <w:pPr>
        <w:tabs>
          <w:tab w:val="num" w:pos="720"/>
        </w:tabs>
        <w:ind w:left="72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743B4E98"/>
    <w:multiLevelType w:val="hybridMultilevel"/>
    <w:tmpl w:val="D0B8B90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20079"/>
    <w:multiLevelType w:val="hybridMultilevel"/>
    <w:tmpl w:val="9DAA2AA6"/>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E6732D"/>
    <w:multiLevelType w:val="hybridMultilevel"/>
    <w:tmpl w:val="A6660336"/>
    <w:lvl w:ilvl="0" w:tplc="8CBA21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B3C7DA1"/>
    <w:multiLevelType w:val="hybridMultilevel"/>
    <w:tmpl w:val="ACA6037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C616879"/>
    <w:multiLevelType w:val="hybridMultilevel"/>
    <w:tmpl w:val="702A670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3"/>
  </w:num>
  <w:num w:numId="10">
    <w:abstractNumId w:val="9"/>
  </w:num>
  <w:num w:numId="11">
    <w:abstractNumId w:val="6"/>
  </w:num>
  <w:num w:numId="12">
    <w:abstractNumId w:val="18"/>
  </w:num>
  <w:num w:numId="13">
    <w:abstractNumId w:val="12"/>
  </w:num>
  <w:num w:numId="14">
    <w:abstractNumId w:val="19"/>
  </w:num>
  <w:num w:numId="15">
    <w:abstractNumId w:val="4"/>
  </w:num>
  <w:num w:numId="16">
    <w:abstractNumId w:val="16"/>
  </w:num>
  <w:num w:numId="17">
    <w:abstractNumId w:val="5"/>
  </w:num>
  <w:num w:numId="18">
    <w:abstractNumId w:val="17"/>
  </w:num>
  <w:num w:numId="19">
    <w:abstractNumId w:val="3"/>
  </w:num>
  <w:num w:numId="20">
    <w:abstractNumId w:val="10"/>
  </w:num>
  <w:num w:numId="21">
    <w:abstractNumId w:val="7"/>
  </w:num>
  <w:num w:numId="22">
    <w:abstractNumId w:val="8"/>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68"/>
    <w:rsid w:val="00024E06"/>
    <w:rsid w:val="000427E6"/>
    <w:rsid w:val="000439F0"/>
    <w:rsid w:val="00060550"/>
    <w:rsid w:val="00060914"/>
    <w:rsid w:val="0006629B"/>
    <w:rsid w:val="0008099C"/>
    <w:rsid w:val="000B1EFE"/>
    <w:rsid w:val="000B273F"/>
    <w:rsid w:val="000B665C"/>
    <w:rsid w:val="000C3DFF"/>
    <w:rsid w:val="000C52F7"/>
    <w:rsid w:val="000D08A9"/>
    <w:rsid w:val="000D2CC8"/>
    <w:rsid w:val="000F7745"/>
    <w:rsid w:val="0011559A"/>
    <w:rsid w:val="00142CE2"/>
    <w:rsid w:val="00184B0B"/>
    <w:rsid w:val="00190DF6"/>
    <w:rsid w:val="001A0AA5"/>
    <w:rsid w:val="001A5868"/>
    <w:rsid w:val="001A5AA3"/>
    <w:rsid w:val="001C4FFF"/>
    <w:rsid w:val="001E20B2"/>
    <w:rsid w:val="001F53BC"/>
    <w:rsid w:val="002713D5"/>
    <w:rsid w:val="002E63BE"/>
    <w:rsid w:val="002F5F63"/>
    <w:rsid w:val="002F6DCF"/>
    <w:rsid w:val="00355D04"/>
    <w:rsid w:val="003867F4"/>
    <w:rsid w:val="0039385F"/>
    <w:rsid w:val="003B4416"/>
    <w:rsid w:val="003C26BF"/>
    <w:rsid w:val="003D401D"/>
    <w:rsid w:val="003D64F8"/>
    <w:rsid w:val="003E27A4"/>
    <w:rsid w:val="003F5D20"/>
    <w:rsid w:val="00403ED7"/>
    <w:rsid w:val="00416846"/>
    <w:rsid w:val="00425CE6"/>
    <w:rsid w:val="00442D4F"/>
    <w:rsid w:val="0047494B"/>
    <w:rsid w:val="004C4E2A"/>
    <w:rsid w:val="004D1562"/>
    <w:rsid w:val="004E0818"/>
    <w:rsid w:val="004F51B8"/>
    <w:rsid w:val="004F600D"/>
    <w:rsid w:val="00502AF0"/>
    <w:rsid w:val="005118E0"/>
    <w:rsid w:val="00530F79"/>
    <w:rsid w:val="00532B6F"/>
    <w:rsid w:val="0053333E"/>
    <w:rsid w:val="00550FE9"/>
    <w:rsid w:val="0056035C"/>
    <w:rsid w:val="00562388"/>
    <w:rsid w:val="005664B3"/>
    <w:rsid w:val="005742B1"/>
    <w:rsid w:val="005C02A0"/>
    <w:rsid w:val="005D1117"/>
    <w:rsid w:val="005E3C13"/>
    <w:rsid w:val="005E42A7"/>
    <w:rsid w:val="005F70C9"/>
    <w:rsid w:val="006005CA"/>
    <w:rsid w:val="00622FC4"/>
    <w:rsid w:val="006600D4"/>
    <w:rsid w:val="00682068"/>
    <w:rsid w:val="00690B0B"/>
    <w:rsid w:val="006A2C9F"/>
    <w:rsid w:val="006A34BE"/>
    <w:rsid w:val="006B6A4F"/>
    <w:rsid w:val="006D40BA"/>
    <w:rsid w:val="006E76CE"/>
    <w:rsid w:val="006F74DC"/>
    <w:rsid w:val="007258E7"/>
    <w:rsid w:val="0072625D"/>
    <w:rsid w:val="00745060"/>
    <w:rsid w:val="00747A35"/>
    <w:rsid w:val="00763754"/>
    <w:rsid w:val="007740F3"/>
    <w:rsid w:val="0079060C"/>
    <w:rsid w:val="00794AFC"/>
    <w:rsid w:val="007B23FB"/>
    <w:rsid w:val="007C434A"/>
    <w:rsid w:val="007E48BA"/>
    <w:rsid w:val="007E7AE0"/>
    <w:rsid w:val="00800266"/>
    <w:rsid w:val="00802A44"/>
    <w:rsid w:val="008314F8"/>
    <w:rsid w:val="00844AA3"/>
    <w:rsid w:val="0086782C"/>
    <w:rsid w:val="008A5C85"/>
    <w:rsid w:val="008B7AB9"/>
    <w:rsid w:val="008C1AAB"/>
    <w:rsid w:val="008D0833"/>
    <w:rsid w:val="008D315C"/>
    <w:rsid w:val="008D5E43"/>
    <w:rsid w:val="008E57E2"/>
    <w:rsid w:val="008F24A7"/>
    <w:rsid w:val="009052D2"/>
    <w:rsid w:val="00912D00"/>
    <w:rsid w:val="009164DB"/>
    <w:rsid w:val="00924A7A"/>
    <w:rsid w:val="00926642"/>
    <w:rsid w:val="00933D9B"/>
    <w:rsid w:val="00934423"/>
    <w:rsid w:val="009443CB"/>
    <w:rsid w:val="00955317"/>
    <w:rsid w:val="00973D11"/>
    <w:rsid w:val="00982305"/>
    <w:rsid w:val="009B2992"/>
    <w:rsid w:val="00A03A95"/>
    <w:rsid w:val="00A16357"/>
    <w:rsid w:val="00A16E36"/>
    <w:rsid w:val="00A476C5"/>
    <w:rsid w:val="00A545FA"/>
    <w:rsid w:val="00A57992"/>
    <w:rsid w:val="00A725C0"/>
    <w:rsid w:val="00AD2A80"/>
    <w:rsid w:val="00AE045E"/>
    <w:rsid w:val="00AE069E"/>
    <w:rsid w:val="00AE0855"/>
    <w:rsid w:val="00AE72E1"/>
    <w:rsid w:val="00AF6445"/>
    <w:rsid w:val="00B011DB"/>
    <w:rsid w:val="00B01908"/>
    <w:rsid w:val="00B07411"/>
    <w:rsid w:val="00B07D88"/>
    <w:rsid w:val="00B22BAE"/>
    <w:rsid w:val="00B85798"/>
    <w:rsid w:val="00B9366E"/>
    <w:rsid w:val="00BA7C05"/>
    <w:rsid w:val="00BF7D6F"/>
    <w:rsid w:val="00C12E76"/>
    <w:rsid w:val="00C245F8"/>
    <w:rsid w:val="00C33AD4"/>
    <w:rsid w:val="00C72082"/>
    <w:rsid w:val="00C8582F"/>
    <w:rsid w:val="00C96BEC"/>
    <w:rsid w:val="00CD2877"/>
    <w:rsid w:val="00CF0CB2"/>
    <w:rsid w:val="00D022CA"/>
    <w:rsid w:val="00D07992"/>
    <w:rsid w:val="00D30A3B"/>
    <w:rsid w:val="00D3383D"/>
    <w:rsid w:val="00D42E22"/>
    <w:rsid w:val="00D46A56"/>
    <w:rsid w:val="00D54DAE"/>
    <w:rsid w:val="00D56B68"/>
    <w:rsid w:val="00D73CAF"/>
    <w:rsid w:val="00D822C9"/>
    <w:rsid w:val="00D86C21"/>
    <w:rsid w:val="00D9169E"/>
    <w:rsid w:val="00DC29BB"/>
    <w:rsid w:val="00DC78EB"/>
    <w:rsid w:val="00DD68A7"/>
    <w:rsid w:val="00DF2E74"/>
    <w:rsid w:val="00DF40C0"/>
    <w:rsid w:val="00E04C37"/>
    <w:rsid w:val="00E053C0"/>
    <w:rsid w:val="00E061C5"/>
    <w:rsid w:val="00E17D9D"/>
    <w:rsid w:val="00E31202"/>
    <w:rsid w:val="00E56219"/>
    <w:rsid w:val="00E66101"/>
    <w:rsid w:val="00E77BD2"/>
    <w:rsid w:val="00E90968"/>
    <w:rsid w:val="00EA4DF1"/>
    <w:rsid w:val="00EF26AD"/>
    <w:rsid w:val="00EF6742"/>
    <w:rsid w:val="00F23B39"/>
    <w:rsid w:val="00F25276"/>
    <w:rsid w:val="00F274CF"/>
    <w:rsid w:val="00F31B2A"/>
    <w:rsid w:val="00F357DB"/>
    <w:rsid w:val="00F36A30"/>
    <w:rsid w:val="00F458C1"/>
    <w:rsid w:val="00F87C00"/>
    <w:rsid w:val="00FA4420"/>
    <w:rsid w:val="00FD07DA"/>
    <w:rsid w:val="00FD332F"/>
    <w:rsid w:val="00FD3AE5"/>
    <w:rsid w:val="00FD61C5"/>
    <w:rsid w:val="00FE21DE"/>
    <w:rsid w:val="00FF0E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3F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lv-LV" w:eastAsia="lv-LV" w:bidi="lv-LV"/>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BA"/>
    <w:pPr>
      <w:spacing w:line="288" w:lineRule="auto"/>
      <w:jc w:val="both"/>
    </w:pPr>
    <w:rPr>
      <w:rFonts w:eastAsia="Times New Roman"/>
      <w:sz w:val="22"/>
      <w:szCs w:val="22"/>
    </w:rPr>
  </w:style>
  <w:style w:type="paragraph" w:styleId="Heading1">
    <w:name w:val="heading 1"/>
    <w:basedOn w:val="Normal"/>
    <w:next w:val="Normal"/>
    <w:qFormat/>
    <w:rsid w:val="006D40BA"/>
    <w:pPr>
      <w:numPr>
        <w:numId w:val="1"/>
      </w:numPr>
      <w:ind w:left="720" w:hanging="720"/>
      <w:outlineLvl w:val="0"/>
    </w:pPr>
    <w:rPr>
      <w:kern w:val="28"/>
    </w:rPr>
  </w:style>
  <w:style w:type="paragraph" w:styleId="Heading2">
    <w:name w:val="heading 2"/>
    <w:basedOn w:val="Normal"/>
    <w:next w:val="Normal"/>
    <w:qFormat/>
    <w:rsid w:val="006D40BA"/>
    <w:pPr>
      <w:numPr>
        <w:ilvl w:val="1"/>
        <w:numId w:val="1"/>
      </w:numPr>
      <w:ind w:left="720" w:hanging="720"/>
      <w:outlineLvl w:val="1"/>
    </w:pPr>
  </w:style>
  <w:style w:type="paragraph" w:styleId="Heading3">
    <w:name w:val="heading 3"/>
    <w:basedOn w:val="Normal"/>
    <w:next w:val="Normal"/>
    <w:qFormat/>
    <w:rsid w:val="006D40BA"/>
    <w:pPr>
      <w:numPr>
        <w:ilvl w:val="2"/>
        <w:numId w:val="1"/>
      </w:numPr>
      <w:ind w:left="720" w:hanging="720"/>
      <w:outlineLvl w:val="2"/>
    </w:pPr>
  </w:style>
  <w:style w:type="paragraph" w:styleId="Heading4">
    <w:name w:val="heading 4"/>
    <w:basedOn w:val="Normal"/>
    <w:next w:val="Normal"/>
    <w:qFormat/>
    <w:rsid w:val="006D40BA"/>
    <w:pPr>
      <w:numPr>
        <w:ilvl w:val="3"/>
        <w:numId w:val="1"/>
      </w:numPr>
      <w:ind w:left="720" w:hanging="720"/>
      <w:outlineLvl w:val="3"/>
    </w:pPr>
  </w:style>
  <w:style w:type="paragraph" w:styleId="Heading5">
    <w:name w:val="heading 5"/>
    <w:basedOn w:val="Normal"/>
    <w:next w:val="Normal"/>
    <w:qFormat/>
    <w:rsid w:val="006D40BA"/>
    <w:pPr>
      <w:numPr>
        <w:ilvl w:val="4"/>
        <w:numId w:val="1"/>
      </w:numPr>
      <w:ind w:left="720" w:hanging="720"/>
      <w:outlineLvl w:val="4"/>
    </w:pPr>
  </w:style>
  <w:style w:type="paragraph" w:styleId="Heading6">
    <w:name w:val="heading 6"/>
    <w:basedOn w:val="Normal"/>
    <w:next w:val="Normal"/>
    <w:qFormat/>
    <w:rsid w:val="006D40BA"/>
    <w:pPr>
      <w:numPr>
        <w:ilvl w:val="5"/>
        <w:numId w:val="1"/>
      </w:numPr>
      <w:ind w:left="720" w:hanging="720"/>
      <w:outlineLvl w:val="5"/>
    </w:pPr>
  </w:style>
  <w:style w:type="paragraph" w:styleId="Heading7">
    <w:name w:val="heading 7"/>
    <w:basedOn w:val="Normal"/>
    <w:next w:val="Normal"/>
    <w:qFormat/>
    <w:rsid w:val="006D40BA"/>
    <w:pPr>
      <w:numPr>
        <w:ilvl w:val="6"/>
        <w:numId w:val="1"/>
      </w:numPr>
      <w:ind w:left="720" w:hanging="720"/>
      <w:outlineLvl w:val="6"/>
    </w:pPr>
  </w:style>
  <w:style w:type="paragraph" w:styleId="Heading8">
    <w:name w:val="heading 8"/>
    <w:basedOn w:val="Normal"/>
    <w:next w:val="Normal"/>
    <w:qFormat/>
    <w:rsid w:val="006D40BA"/>
    <w:pPr>
      <w:numPr>
        <w:ilvl w:val="7"/>
        <w:numId w:val="1"/>
      </w:numPr>
      <w:ind w:left="720" w:hanging="720"/>
      <w:outlineLvl w:val="7"/>
    </w:pPr>
  </w:style>
  <w:style w:type="paragraph" w:styleId="Heading9">
    <w:name w:val="heading 9"/>
    <w:basedOn w:val="Normal"/>
    <w:next w:val="Normal"/>
    <w:qFormat/>
    <w:rsid w:val="006D40B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FootnoteText">
    <w:name w:val="footnote text"/>
    <w:basedOn w:val="Normal"/>
    <w:qFormat/>
    <w:rsid w:val="006D40BA"/>
    <w:pPr>
      <w:keepLines/>
      <w:spacing w:after="60" w:line="240" w:lineRule="auto"/>
      <w:ind w:left="720" w:hanging="720"/>
    </w:pPr>
    <w:rPr>
      <w:sz w:val="16"/>
    </w:rPr>
  </w:style>
  <w:style w:type="paragraph" w:styleId="Header">
    <w:name w:val="header"/>
    <w:basedOn w:val="Normal"/>
    <w:qFormat/>
    <w:rsid w:val="006D40BA"/>
  </w:style>
  <w:style w:type="paragraph" w:styleId="Footer">
    <w:name w:val="footer"/>
    <w:basedOn w:val="Normal"/>
    <w:qFormat/>
    <w:rsid w:val="006D40BA"/>
  </w:style>
  <w:style w:type="paragraph" w:customStyle="1" w:styleId="quotes">
    <w:name w:val="quotes"/>
    <w:basedOn w:val="Normal"/>
    <w:next w:val="Normal"/>
    <w:rsid w:val="006D40BA"/>
    <w:pPr>
      <w:ind w:left="720"/>
    </w:pPr>
    <w:rPr>
      <w:i/>
    </w:rPr>
  </w:style>
  <w:style w:type="character" w:styleId="FootnoteReference">
    <w:name w:val="footnote reference"/>
    <w:basedOn w:val="DefaultParagraphFont"/>
    <w:unhideWhenUsed/>
    <w:qFormat/>
    <w:rsid w:val="006D40BA"/>
    <w:rPr>
      <w:sz w:val="24"/>
      <w:vertAlign w:val="superscript"/>
    </w:rPr>
  </w:style>
  <w:style w:type="paragraph" w:styleId="ListParagraph">
    <w:name w:val="List Paragraph"/>
    <w:basedOn w:val="Normal"/>
    <w:uiPriority w:val="34"/>
    <w:qFormat/>
    <w:rsid w:val="006D40BA"/>
    <w:pPr>
      <w:ind w:left="720"/>
      <w:contextualSpacing/>
    </w:pPr>
  </w:style>
  <w:style w:type="paragraph" w:styleId="Revision">
    <w:name w:val="Revision"/>
    <w:hidden/>
    <w:uiPriority w:val="99"/>
    <w:semiHidden/>
    <w:rsid w:val="0056035C"/>
    <w:rPr>
      <w:rFonts w:eastAsia="Times New Roman"/>
      <w:sz w:val="22"/>
    </w:rPr>
  </w:style>
  <w:style w:type="table" w:styleId="TableGrid">
    <w:name w:val="Table Grid"/>
    <w:basedOn w:val="TableNormal"/>
    <w:rsid w:val="006F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6742"/>
    <w:pPr>
      <w:spacing w:before="100" w:beforeAutospacing="1" w:after="100" w:afterAutospacing="1" w:line="240" w:lineRule="auto"/>
      <w:jc w:val="left"/>
    </w:pPr>
    <w:rPr>
      <w:sz w:val="24"/>
      <w:szCs w:val="24"/>
    </w:rPr>
  </w:style>
  <w:style w:type="paragraph" w:styleId="BalloonText">
    <w:name w:val="Balloon Text"/>
    <w:basedOn w:val="Normal"/>
    <w:link w:val="BalloonTextChar"/>
    <w:rsid w:val="00AE72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72E1"/>
    <w:rPr>
      <w:rFonts w:ascii="Tahoma" w:eastAsia="Times New Roman" w:hAnsi="Tahoma" w:cs="Tahoma"/>
      <w:sz w:val="16"/>
      <w:szCs w:val="16"/>
      <w:lang w:val="lv-LV" w:eastAsia="lv-LV"/>
    </w:rPr>
  </w:style>
  <w:style w:type="character" w:styleId="Emphasis">
    <w:name w:val="Emphasis"/>
    <w:basedOn w:val="DefaultParagraphFont"/>
    <w:uiPriority w:val="20"/>
    <w:qFormat/>
    <w:rsid w:val="00FD332F"/>
    <w:rPr>
      <w:b/>
      <w:bCs/>
      <w:i w:val="0"/>
      <w:iCs w:val="0"/>
    </w:rPr>
  </w:style>
  <w:style w:type="character" w:customStyle="1" w:styleId="st1">
    <w:name w:val="st1"/>
    <w:basedOn w:val="DefaultParagraphFont"/>
    <w:rsid w:val="00FD3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lv-LV" w:eastAsia="lv-LV" w:bidi="lv-LV"/>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BA"/>
    <w:pPr>
      <w:spacing w:line="288" w:lineRule="auto"/>
      <w:jc w:val="both"/>
    </w:pPr>
    <w:rPr>
      <w:rFonts w:eastAsia="Times New Roman"/>
      <w:sz w:val="22"/>
      <w:szCs w:val="22"/>
    </w:rPr>
  </w:style>
  <w:style w:type="paragraph" w:styleId="Heading1">
    <w:name w:val="heading 1"/>
    <w:basedOn w:val="Normal"/>
    <w:next w:val="Normal"/>
    <w:qFormat/>
    <w:rsid w:val="006D40BA"/>
    <w:pPr>
      <w:numPr>
        <w:numId w:val="1"/>
      </w:numPr>
      <w:ind w:left="720" w:hanging="720"/>
      <w:outlineLvl w:val="0"/>
    </w:pPr>
    <w:rPr>
      <w:kern w:val="28"/>
    </w:rPr>
  </w:style>
  <w:style w:type="paragraph" w:styleId="Heading2">
    <w:name w:val="heading 2"/>
    <w:basedOn w:val="Normal"/>
    <w:next w:val="Normal"/>
    <w:qFormat/>
    <w:rsid w:val="006D40BA"/>
    <w:pPr>
      <w:numPr>
        <w:ilvl w:val="1"/>
        <w:numId w:val="1"/>
      </w:numPr>
      <w:ind w:left="720" w:hanging="720"/>
      <w:outlineLvl w:val="1"/>
    </w:pPr>
  </w:style>
  <w:style w:type="paragraph" w:styleId="Heading3">
    <w:name w:val="heading 3"/>
    <w:basedOn w:val="Normal"/>
    <w:next w:val="Normal"/>
    <w:qFormat/>
    <w:rsid w:val="006D40BA"/>
    <w:pPr>
      <w:numPr>
        <w:ilvl w:val="2"/>
        <w:numId w:val="1"/>
      </w:numPr>
      <w:ind w:left="720" w:hanging="720"/>
      <w:outlineLvl w:val="2"/>
    </w:pPr>
  </w:style>
  <w:style w:type="paragraph" w:styleId="Heading4">
    <w:name w:val="heading 4"/>
    <w:basedOn w:val="Normal"/>
    <w:next w:val="Normal"/>
    <w:qFormat/>
    <w:rsid w:val="006D40BA"/>
    <w:pPr>
      <w:numPr>
        <w:ilvl w:val="3"/>
        <w:numId w:val="1"/>
      </w:numPr>
      <w:ind w:left="720" w:hanging="720"/>
      <w:outlineLvl w:val="3"/>
    </w:pPr>
  </w:style>
  <w:style w:type="paragraph" w:styleId="Heading5">
    <w:name w:val="heading 5"/>
    <w:basedOn w:val="Normal"/>
    <w:next w:val="Normal"/>
    <w:qFormat/>
    <w:rsid w:val="006D40BA"/>
    <w:pPr>
      <w:numPr>
        <w:ilvl w:val="4"/>
        <w:numId w:val="1"/>
      </w:numPr>
      <w:ind w:left="720" w:hanging="720"/>
      <w:outlineLvl w:val="4"/>
    </w:pPr>
  </w:style>
  <w:style w:type="paragraph" w:styleId="Heading6">
    <w:name w:val="heading 6"/>
    <w:basedOn w:val="Normal"/>
    <w:next w:val="Normal"/>
    <w:qFormat/>
    <w:rsid w:val="006D40BA"/>
    <w:pPr>
      <w:numPr>
        <w:ilvl w:val="5"/>
        <w:numId w:val="1"/>
      </w:numPr>
      <w:ind w:left="720" w:hanging="720"/>
      <w:outlineLvl w:val="5"/>
    </w:pPr>
  </w:style>
  <w:style w:type="paragraph" w:styleId="Heading7">
    <w:name w:val="heading 7"/>
    <w:basedOn w:val="Normal"/>
    <w:next w:val="Normal"/>
    <w:qFormat/>
    <w:rsid w:val="006D40BA"/>
    <w:pPr>
      <w:numPr>
        <w:ilvl w:val="6"/>
        <w:numId w:val="1"/>
      </w:numPr>
      <w:ind w:left="720" w:hanging="720"/>
      <w:outlineLvl w:val="6"/>
    </w:pPr>
  </w:style>
  <w:style w:type="paragraph" w:styleId="Heading8">
    <w:name w:val="heading 8"/>
    <w:basedOn w:val="Normal"/>
    <w:next w:val="Normal"/>
    <w:qFormat/>
    <w:rsid w:val="006D40BA"/>
    <w:pPr>
      <w:numPr>
        <w:ilvl w:val="7"/>
        <w:numId w:val="1"/>
      </w:numPr>
      <w:ind w:left="720" w:hanging="720"/>
      <w:outlineLvl w:val="7"/>
    </w:pPr>
  </w:style>
  <w:style w:type="paragraph" w:styleId="Heading9">
    <w:name w:val="heading 9"/>
    <w:basedOn w:val="Normal"/>
    <w:next w:val="Normal"/>
    <w:qFormat/>
    <w:rsid w:val="006D40B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FootnoteText">
    <w:name w:val="footnote text"/>
    <w:basedOn w:val="Normal"/>
    <w:qFormat/>
    <w:rsid w:val="006D40BA"/>
    <w:pPr>
      <w:keepLines/>
      <w:spacing w:after="60" w:line="240" w:lineRule="auto"/>
      <w:ind w:left="720" w:hanging="720"/>
    </w:pPr>
    <w:rPr>
      <w:sz w:val="16"/>
    </w:rPr>
  </w:style>
  <w:style w:type="paragraph" w:styleId="Header">
    <w:name w:val="header"/>
    <w:basedOn w:val="Normal"/>
    <w:qFormat/>
    <w:rsid w:val="006D40BA"/>
  </w:style>
  <w:style w:type="paragraph" w:styleId="Footer">
    <w:name w:val="footer"/>
    <w:basedOn w:val="Normal"/>
    <w:qFormat/>
    <w:rsid w:val="006D40BA"/>
  </w:style>
  <w:style w:type="paragraph" w:customStyle="1" w:styleId="quotes">
    <w:name w:val="quotes"/>
    <w:basedOn w:val="Normal"/>
    <w:next w:val="Normal"/>
    <w:rsid w:val="006D40BA"/>
    <w:pPr>
      <w:ind w:left="720"/>
    </w:pPr>
    <w:rPr>
      <w:i/>
    </w:rPr>
  </w:style>
  <w:style w:type="character" w:styleId="FootnoteReference">
    <w:name w:val="footnote reference"/>
    <w:basedOn w:val="DefaultParagraphFont"/>
    <w:unhideWhenUsed/>
    <w:qFormat/>
    <w:rsid w:val="006D40BA"/>
    <w:rPr>
      <w:sz w:val="24"/>
      <w:vertAlign w:val="superscript"/>
    </w:rPr>
  </w:style>
  <w:style w:type="paragraph" w:styleId="ListParagraph">
    <w:name w:val="List Paragraph"/>
    <w:basedOn w:val="Normal"/>
    <w:uiPriority w:val="34"/>
    <w:qFormat/>
    <w:rsid w:val="006D40BA"/>
    <w:pPr>
      <w:ind w:left="720"/>
      <w:contextualSpacing/>
    </w:pPr>
  </w:style>
  <w:style w:type="paragraph" w:styleId="Revision">
    <w:name w:val="Revision"/>
    <w:hidden/>
    <w:uiPriority w:val="99"/>
    <w:semiHidden/>
    <w:rsid w:val="0056035C"/>
    <w:rPr>
      <w:rFonts w:eastAsia="Times New Roman"/>
      <w:sz w:val="22"/>
    </w:rPr>
  </w:style>
  <w:style w:type="table" w:styleId="TableGrid">
    <w:name w:val="Table Grid"/>
    <w:basedOn w:val="TableNormal"/>
    <w:rsid w:val="006F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6742"/>
    <w:pPr>
      <w:spacing w:before="100" w:beforeAutospacing="1" w:after="100" w:afterAutospacing="1" w:line="240" w:lineRule="auto"/>
      <w:jc w:val="left"/>
    </w:pPr>
    <w:rPr>
      <w:sz w:val="24"/>
      <w:szCs w:val="24"/>
    </w:rPr>
  </w:style>
  <w:style w:type="paragraph" w:styleId="BalloonText">
    <w:name w:val="Balloon Text"/>
    <w:basedOn w:val="Normal"/>
    <w:link w:val="BalloonTextChar"/>
    <w:rsid w:val="00AE72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72E1"/>
    <w:rPr>
      <w:rFonts w:ascii="Tahoma" w:eastAsia="Times New Roman" w:hAnsi="Tahoma" w:cs="Tahoma"/>
      <w:sz w:val="16"/>
      <w:szCs w:val="16"/>
      <w:lang w:val="lv-LV" w:eastAsia="lv-LV"/>
    </w:rPr>
  </w:style>
  <w:style w:type="character" w:styleId="Emphasis">
    <w:name w:val="Emphasis"/>
    <w:basedOn w:val="DefaultParagraphFont"/>
    <w:uiPriority w:val="20"/>
    <w:qFormat/>
    <w:rsid w:val="00FD332F"/>
    <w:rPr>
      <w:b/>
      <w:bCs/>
      <w:i w:val="0"/>
      <w:iCs w:val="0"/>
    </w:rPr>
  </w:style>
  <w:style w:type="character" w:customStyle="1" w:styleId="st1">
    <w:name w:val="st1"/>
    <w:basedOn w:val="DefaultParagraphFont"/>
    <w:rsid w:val="00FD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eer-cdr@cor.europa.eu" TargetMode="External"/><Relationship Id="rId2" Type="http://schemas.openxmlformats.org/officeDocument/2006/relationships/customXml" Target="../customXml/item2.xml"/><Relationship Id="rId16" Type="http://schemas.openxmlformats.org/officeDocument/2006/relationships/hyperlink" Target="https://cor.europa.eu/en/engage/Pages/european-entrepreneurial-region.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CORWEB-1175505639-347</_dlc_DocId>
    <_dlc_DocIdUrl xmlns="61ca3f1a-19f4-461d-a43b-0b5ad97b08be">
      <Url>https://prod-portal.cor.europa.eu/en/engage/_layouts/15/DocIdRedir.aspx?ID=CORWEB-1175505639-347</Url>
      <Description>CORWEB-1175505639-347</Description>
    </_dlc_DocIdUrl>
    <TaxCatchAll xmlns="61ca3f1a-19f4-461d-a43b-0b5ad97b08be">
      <Value>54</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Latvian</TermName>
          <TermId xmlns="http://schemas.microsoft.com/office/infopath/2007/PartnerControls">44ea0151-99fa-43eb-9d31-c6988ca977d5</TermId>
        </TermInfo>
      </Terms>
    </p2fcf63a50b541b9841bb70f49df331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WorkflowChangePath"><![CDATA[d8b05a6b-1ae1-49f8-8d0e-2f11ea0029ec,2;d8b05a6b-1ae1-49f8-8d0e-2f11ea0029ec,2;d8b05a6b-1ae1-49f8-8d0e-2f11ea0029ec,2;d8b05a6b-1ae1-49f8-8d0e-2f11ea0029ec,2;d8b05a6b-1ae1-49f8-8d0e-2f11ea0029ec,2;d8b05a6b-1ae1-49f8-8d0e-2f11ea0029ec,2;d8b05a6b-1ae1-49f8-8d0e-2f11ea0029ec,2;d8b05a6b-1ae1-49f8-8d0e-2f11ea0029ec,2;]]></LongProp>
</Long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0604CEAC7118214B861BD5C8C8E15446" ma:contentTypeVersion="4" ma:contentTypeDescription="Create a new document." ma:contentTypeScope="" ma:versionID="e22738654091930a763a5383c37a852b">
  <xsd:schema xmlns:xsd="http://www.w3.org/2001/XMLSchema" xmlns:xs="http://www.w3.org/2001/XMLSchema" xmlns:p="http://schemas.microsoft.com/office/2006/metadata/properties" xmlns:ns2="61ca3f1a-19f4-461d-a43b-0b5ad97b08be" targetNamespace="http://schemas.microsoft.com/office/2006/metadata/properties" ma:root="true" ma:fieldsID="a3f924730a0d153f3c9d2212cc8bae41"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F343-D9D2-4684-858B-463708FA9EAD}"/>
</file>

<file path=customXml/itemProps2.xml><?xml version="1.0" encoding="utf-8"?>
<ds:datastoreItem xmlns:ds="http://schemas.openxmlformats.org/officeDocument/2006/customXml" ds:itemID="{3F6C4BBE-0B10-43E1-9712-7ECF0C2DEDF4}"/>
</file>

<file path=customXml/itemProps3.xml><?xml version="1.0" encoding="utf-8"?>
<ds:datastoreItem xmlns:ds="http://schemas.openxmlformats.org/officeDocument/2006/customXml" ds:itemID="{219E3A65-4FB5-42A0-A796-BB9F47E859D9}"/>
</file>

<file path=customXml/itemProps4.xml><?xml version="1.0" encoding="utf-8"?>
<ds:datastoreItem xmlns:ds="http://schemas.openxmlformats.org/officeDocument/2006/customXml" ds:itemID="{D0C5EF48-2343-4CB0-9732-FA627962F634}"/>
</file>

<file path=customXml/itemProps5.xml><?xml version="1.0" encoding="utf-8"?>
<ds:datastoreItem xmlns:ds="http://schemas.openxmlformats.org/officeDocument/2006/customXml" ds:itemID="{DD78DD1B-5068-4F15-B831-0B6A9BACCBB5}"/>
</file>

<file path=customXml/itemProps6.xml><?xml version="1.0" encoding="utf-8"?>
<ds:datastoreItem xmlns:ds="http://schemas.openxmlformats.org/officeDocument/2006/customXml" ds:itemID="{EEC719A1-B14A-47B9-8A16-95442E8F640D}"/>
</file>

<file path=docProps/app.xml><?xml version="1.0" encoding="utf-8"?>
<Properties xmlns="http://schemas.openxmlformats.org/officeDocument/2006/extended-properties" xmlns:vt="http://schemas.openxmlformats.org/officeDocument/2006/docPropsVTypes">
  <Template>Normal</Template>
  <TotalTime>2</TotalTime>
  <Pages>4</Pages>
  <Words>1379</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Pieteikšanās - Izcilības zīme Eiropas reģions, kas veicina uzņēmējdarbību (2020)</vt:lpstr>
    </vt:vector>
  </TitlesOfParts>
  <Company>CESE-CdR</Company>
  <LinksUpToDate>false</LinksUpToDate>
  <CharactersWithSpaces>8947</CharactersWithSpaces>
  <SharedDoc>false</SharedDoc>
  <HLinks>
    <vt:vector size="24" baseType="variant">
      <vt:variant>
        <vt:i4>4784249</vt:i4>
      </vt:variant>
      <vt:variant>
        <vt:i4>9</vt:i4>
      </vt:variant>
      <vt:variant>
        <vt:i4>0</vt:i4>
      </vt:variant>
      <vt:variant>
        <vt:i4>5</vt:i4>
      </vt:variant>
      <vt:variant>
        <vt:lpwstr>mailto:eer-cdr@cor.europa.eu</vt:lpwstr>
      </vt:variant>
      <vt:variant>
        <vt:lpwstr/>
      </vt:variant>
      <vt:variant>
        <vt:i4>1114181</vt:i4>
      </vt:variant>
      <vt:variant>
        <vt:i4>6</vt:i4>
      </vt:variant>
      <vt:variant>
        <vt:i4>0</vt:i4>
      </vt:variant>
      <vt:variant>
        <vt:i4>5</vt:i4>
      </vt:variant>
      <vt:variant>
        <vt:lpwstr>http://www.cor.europa.eu/eer</vt:lpwstr>
      </vt:variant>
      <vt:variant>
        <vt:lpwstr/>
      </vt:variant>
      <vt:variant>
        <vt:i4>4784249</vt:i4>
      </vt:variant>
      <vt:variant>
        <vt:i4>3</vt:i4>
      </vt:variant>
      <vt:variant>
        <vt:i4>0</vt:i4>
      </vt:variant>
      <vt:variant>
        <vt:i4>5</vt:i4>
      </vt:variant>
      <vt:variant>
        <vt:lpwstr>mailto:eer-cdr@cor.europa.eu</vt:lpwstr>
      </vt:variant>
      <vt:variant>
        <vt:lpwstr/>
      </vt:variant>
      <vt:variant>
        <vt:i4>1114140</vt:i4>
      </vt:variant>
      <vt:variant>
        <vt:i4>0</vt:i4>
      </vt:variant>
      <vt:variant>
        <vt:i4>0</vt:i4>
      </vt:variant>
      <vt:variant>
        <vt:i4>5</vt:i4>
      </vt:variant>
      <vt:variant>
        <vt:lpwstr>http://cor.europa.eu/eer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Pieteikšanās - Izcilības zīme Eiropas reģions, kas veicina uzņēmējdarbību (2020)</dc:title>
  <dc:creator>Marc Kiwitt</dc:creator>
  <cp:keywords>COR-2017-05407-00-01-ADMIN-TRA-EN</cp:keywords>
  <dc:description>Rapporteur:  - Original language: EN - Date of document: 12/11/2018 - Date of meeting:  - External documents:  - Administrator: M. Zajaczkowski Piotr Pawel</dc:description>
  <cp:lastModifiedBy>Piotr Pawel Zajaczkowski</cp:lastModifiedBy>
  <cp:revision>9</cp:revision>
  <cp:lastPrinted>2014-09-17T09:44:00Z</cp:lastPrinted>
  <dcterms:created xsi:type="dcterms:W3CDTF">2018-11-07T12:54:00Z</dcterms:created>
  <dcterms:modified xsi:type="dcterms:W3CDTF">2018-11-13T08:55:00Z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so preformatted by">
    <vt:lpwstr/>
  </property>
  <property fmtid="{D5CDD505-2E9C-101B-9397-08002B2CF9AE}" pid="3" name="Pref_formatted">
    <vt:bool>true</vt:bool>
  </property>
  <property fmtid="{D5CDD505-2E9C-101B-9397-08002B2CF9AE}" pid="4" name="Pref_Date">
    <vt:lpwstr>07/11/2018, 07/11/2018, 15/11/2017, 15/11/2017, 26/10/2015, 26/10/2015</vt:lpwstr>
  </property>
  <property fmtid="{D5CDD505-2E9C-101B-9397-08002B2CF9AE}" pid="5" name="Pref_Time">
    <vt:lpwstr>13:50:45, 12:34:37, 11:08:51, 11:02:49, 14:39:37, 14:09:21</vt:lpwstr>
  </property>
  <property fmtid="{D5CDD505-2E9C-101B-9397-08002B2CF9AE}" pid="6" name="Pref_User">
    <vt:lpwstr>enied, ssex, enied, YMUR, amett, ssex</vt:lpwstr>
  </property>
  <property fmtid="{D5CDD505-2E9C-101B-9397-08002B2CF9AE}" pid="7" name="Pref_FileName">
    <vt:lpwstr>COR-2017-05407-00-01-ADMIN-TRA-EN-CRR.docx, COR-2017-05407-00-01-ADMIN-CRR-EN.docx, COR-2017-05407-00-00-ADMIN-TRA-EN-CRR.docx, COR-2017-05407-00-00-ADMIN-CRR-EN.docx, COR-2015-05539-00-00-ADMIN-TRA-EN-CRR.docx, COR-2015-05539-00-00-ADMIN-CRR-EN.docx</vt:lpwstr>
  </property>
  <property fmtid="{D5CDD505-2E9C-101B-9397-08002B2CF9AE}" pid="8" name="ContentTypeId">
    <vt:lpwstr>0x0101000E48EF7EAB68C94FAFBCC7BAE1C760BE000604CEAC7118214B861BD5C8C8E15446</vt:lpwstr>
  </property>
  <property fmtid="{D5CDD505-2E9C-101B-9397-08002B2CF9AE}" pid="9" name="_dlc_DocIdItemGuid">
    <vt:lpwstr>d3d0ce73-81dd-40bf-93c6-4c9a32469571</vt:lpwstr>
  </property>
  <property fmtid="{D5CDD505-2E9C-101B-9397-08002B2CF9AE}" pid="10" name="DocumentType_0">
    <vt:lpwstr>ADMIN|58d8ac89-e690-41f6-a5e8-508fa4a7c73c</vt:lpwstr>
  </property>
  <property fmtid="{D5CDD505-2E9C-101B-9397-08002B2CF9AE}" pid="11" name="AvailableTranslations">
    <vt:lpwstr>26;#CS|72f9705b-0217-4fd3-bea2-cbc7ed80e26e;#25;#LV|46f7e311-5d9f-4663-b433-18aeccb7ace7;#37;#SK|46d9fce0-ef79-4f71-b89b-cd6aa82426b8;#28;#LT|a7ff5ce7-6123-4f68-865a-a57c31810414;#18;#PL|1e03da61-4678-4e07-b136-b5024ca9197b;#7;#IT|0774613c-01ed-4e5d-a25d-</vt:lpwstr>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FicheYear">
    <vt:i4>2017</vt:i4>
  </property>
  <property fmtid="{D5CDD505-2E9C-101B-9397-08002B2CF9AE}" pid="15" name="DocumentNumber">
    <vt:i4>5407</vt:i4>
  </property>
  <property fmtid="{D5CDD505-2E9C-101B-9397-08002B2CF9AE}" pid="16" name="DocumentVersion">
    <vt:i4>1</vt:i4>
  </property>
  <property fmtid="{D5CDD505-2E9C-101B-9397-08002B2CF9AE}" pid="17" name="DocumentSource">
    <vt:lpwstr>1;#CoR|cb2d75ef-4a7d-4393-b797-49ed6298a5ea</vt:lpwstr>
  </property>
  <property fmtid="{D5CDD505-2E9C-101B-9397-08002B2CF9AE}" pid="18" name="DocumentType">
    <vt:lpwstr>50;#ADMIN|58d8ac89-e690-41f6-a5e8-508fa4a7c73c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Commission ECON</vt:lpwstr>
  </property>
  <property fmtid="{D5CDD505-2E9C-101B-9397-08002B2CF9AE}" pid="23" name="Confidentiality">
    <vt:lpwstr>10;#Unrestricted|826e22d7-d029-4ec0-a450-0c28ff673572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12;#EN|f2175f21-25d7-44a3-96da-d6a61b075e1b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41;#ET|ff6c3f4c-b02c-4c3c-ab07-2c37995a7a0a;#40;#HR|2f555653-ed1a-4fe6-8362-9082d95989e5;#39;#BG|1a1b3951-7821-4e6a-85f5-5673fc08bd2c;#38;#ES|e7a6b05b-ae16-40c8-add9-68b64b03aeba;#37;#SK|46d9fce0-ef79-4f71-b89b-cd6aa82426b8;#36;#FI|87606a43-d45f-42d6-b8c9</vt:lpwstr>
  </property>
  <property fmtid="{D5CDD505-2E9C-101B-9397-08002B2CF9AE}" pid="31" name="AvailableTranslations_0">
    <vt:lpwstr>CS|72f9705b-0217-4fd3-bea2-cbc7ed80e26e;SK|46d9fce0-ef79-4f71-b89b-cd6aa82426b8;LT|a7ff5ce7-6123-4f68-865a-a57c31810414;PL|1e03da61-4678-4e07-b136-b5024ca9197b;IT|0774613c-01ed-4e5d-a25d-11d2388de825;DE|f6b31e5a-26fa-4935-b661-318e46daf27e;EN|f2175f21-25d</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13104</vt:i4>
  </property>
  <property fmtid="{D5CDD505-2E9C-101B-9397-08002B2CF9AE}" pid="35" name="DocumentYear">
    <vt:i4>2017</vt:i4>
  </property>
  <property fmtid="{D5CDD505-2E9C-101B-9397-08002B2CF9AE}" pid="36" name="DocumentLanguage">
    <vt:lpwstr>25;#LV|46f7e311-5d9f-4663-b433-18aeccb7ace7</vt:lpwstr>
  </property>
  <property fmtid="{D5CDD505-2E9C-101B-9397-08002B2CF9AE}" pid="37" name="CoR_Language">
    <vt:lpwstr>54;#Latvian|44ea0151-99fa-43eb-9d31-c6988ca977d5</vt:lpwstr>
  </property>
</Properties>
</file>