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573"/>
        <w:gridCol w:w="3805"/>
      </w:tblGrid>
      <w:tr w:rsidR="00EF6742" w:rsidRPr="000F7A40" w14:paraId="2EC31336" w14:textId="77777777" w:rsidTr="00763754">
        <w:trPr>
          <w:trHeight w:val="1833"/>
        </w:trPr>
        <w:tc>
          <w:tcPr>
            <w:tcW w:w="3369" w:type="dxa"/>
            <w:hideMark/>
          </w:tcPr>
          <w:p w14:paraId="60E881A6" w14:textId="4229DC95" w:rsidR="00EF6742" w:rsidRPr="003C26BF" w:rsidRDefault="00436A73" w:rsidP="003C26B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</w:rPr>
            </w:pPr>
            <w:r w:rsidRPr="000F7A40">
              <w:rPr>
                <w:rFonts w:eastAsia="Arial Unicode MS"/>
                <w:noProof/>
                <w:lang w:val="fr-BE" w:eastAsia="fr-BE" w:bidi="ar-SA"/>
              </w:rPr>
              <w:drawing>
                <wp:inline distT="0" distB="0" distL="0" distR="0" wp14:anchorId="4F373783" wp14:editId="55BA6593">
                  <wp:extent cx="1799590" cy="1555750"/>
                  <wp:effectExtent l="0" t="0" r="0" b="6350"/>
                  <wp:docPr id="2" name="Picture 2" title="CoRLogo_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14:paraId="52C29E7C" w14:textId="17A1B79A" w:rsidR="00EF6742" w:rsidRPr="00EF6742" w:rsidRDefault="00EF6742" w:rsidP="003C26B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noProof/>
              </w:rPr>
            </w:pPr>
          </w:p>
        </w:tc>
        <w:tc>
          <w:tcPr>
            <w:tcW w:w="3805" w:type="dxa"/>
            <w:vAlign w:val="center"/>
            <w:hideMark/>
          </w:tcPr>
          <w:p w14:paraId="0F46EB71" w14:textId="320D5CA6" w:rsidR="00EF6742" w:rsidRPr="000F7A40" w:rsidRDefault="00EF6742" w:rsidP="003C26BF">
            <w:pPr>
              <w:pStyle w:val="NormalWeb"/>
              <w:spacing w:before="0" w:beforeAutospacing="0" w:after="0" w:afterAutospacing="0" w:line="276" w:lineRule="auto"/>
              <w:jc w:val="right"/>
              <w:textAlignment w:val="baseline"/>
              <w:rPr>
                <w:noProof/>
              </w:rPr>
            </w:pPr>
            <w:r w:rsidRPr="000F7A40">
              <w:rPr>
                <w:noProof/>
                <w:lang w:val="fr-BE" w:eastAsia="fr-BE" w:bidi="ar-SA"/>
              </w:rPr>
              <w:drawing>
                <wp:inline distT="0" distB="0" distL="0" distR="0" wp14:anchorId="21E6FD8E" wp14:editId="3599FDFD">
                  <wp:extent cx="1288111" cy="1152938"/>
                  <wp:effectExtent l="0" t="0" r="7620" b="9525"/>
                  <wp:docPr id="11" name="Picture 11" descr="L:\European Entrepreneurial Region\Logos\New logos 2017\3231 EER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European Entrepreneurial Region\Logos\New logos 2017\3231 EER lab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4"/>
                          <a:stretch/>
                        </pic:blipFill>
                        <pic:spPr bwMode="auto">
                          <a:xfrm>
                            <a:off x="0" y="0"/>
                            <a:ext cx="1287745" cy="115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4CB33" w14:textId="77777777" w:rsidR="00AE045E" w:rsidRPr="000F7A40" w:rsidRDefault="00AE045E" w:rsidP="00AE045E">
      <w:pPr>
        <w:jc w:val="center"/>
      </w:pPr>
    </w:p>
    <w:p w14:paraId="74B40910" w14:textId="019FF0B9" w:rsidR="00AE045E" w:rsidRPr="000F7A40" w:rsidRDefault="00934423" w:rsidP="00AE045E">
      <w:pPr>
        <w:jc w:val="center"/>
      </w:pPr>
      <w:r w:rsidRPr="000F7A40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E28D52" wp14:editId="615471C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BAFFF" w14:textId="77777777" w:rsidR="00934423" w:rsidRPr="00260E65" w:rsidRDefault="00934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E28D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0EtQ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2tl0E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7BABAFFF" w14:textId="77777777" w:rsidR="00934423" w:rsidRPr="00260E65" w:rsidRDefault="009344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CCAB17" w14:textId="13600331" w:rsidR="00AE045E" w:rsidRPr="000F7A40" w:rsidRDefault="00AE045E" w:rsidP="00AE045E">
      <w:pPr>
        <w:jc w:val="center"/>
        <w:rPr>
          <w:b/>
          <w:sz w:val="32"/>
          <w:szCs w:val="26"/>
        </w:rPr>
      </w:pPr>
      <w:r w:rsidRPr="000F7A40">
        <w:rPr>
          <w:b/>
          <w:sz w:val="32"/>
        </w:rPr>
        <w:t>Награда „Предприемчив европейски регион“ за 2020 г.</w:t>
      </w:r>
    </w:p>
    <w:p w14:paraId="7BCC69FE" w14:textId="77777777" w:rsidR="00AE045E" w:rsidRPr="000F7A40" w:rsidRDefault="00AE045E" w:rsidP="00AE045E">
      <w:pPr>
        <w:jc w:val="center"/>
      </w:pPr>
    </w:p>
    <w:p w14:paraId="6C0B30E7" w14:textId="77777777" w:rsidR="00AE045E" w:rsidRPr="000F7A40" w:rsidRDefault="00AE045E" w:rsidP="00AE045E">
      <w:pPr>
        <w:jc w:val="center"/>
        <w:rPr>
          <w:b/>
          <w:i/>
          <w:sz w:val="32"/>
        </w:rPr>
      </w:pPr>
      <w:r w:rsidRPr="000F7A40">
        <w:rPr>
          <w:b/>
          <w:sz w:val="32"/>
        </w:rPr>
        <w:t>Как се кандидатства?</w:t>
      </w:r>
    </w:p>
    <w:p w14:paraId="046002E3" w14:textId="77777777" w:rsidR="00AE045E" w:rsidRPr="000F7A40" w:rsidRDefault="00AE045E" w:rsidP="00AE045E">
      <w:pPr>
        <w:jc w:val="center"/>
      </w:pPr>
    </w:p>
    <w:p w14:paraId="725B6068" w14:textId="77777777" w:rsidR="00745060" w:rsidRPr="000F7A40" w:rsidRDefault="00745060" w:rsidP="00AE045E">
      <w:pPr>
        <w:jc w:val="center"/>
      </w:pPr>
    </w:p>
    <w:p w14:paraId="368E5A7C" w14:textId="77777777" w:rsidR="00F25276" w:rsidRPr="000F7A40" w:rsidRDefault="00EA4DF1" w:rsidP="001E20B2">
      <w:pPr>
        <w:rPr>
          <w:b/>
        </w:rPr>
      </w:pPr>
      <w:r w:rsidRPr="000F7A40">
        <w:rPr>
          <w:b/>
        </w:rPr>
        <w:t>Какво е ПЕР?</w:t>
      </w:r>
    </w:p>
    <w:p w14:paraId="0E3225AF" w14:textId="77777777" w:rsidR="008A5C85" w:rsidRPr="000F7A40" w:rsidRDefault="008A5C85" w:rsidP="00D9169E"/>
    <w:p w14:paraId="34DC6DDC" w14:textId="77777777" w:rsidR="008A5C85" w:rsidRPr="000F7A40" w:rsidRDefault="008A5C85" w:rsidP="00B011DB">
      <w:r w:rsidRPr="000F7A40">
        <w:t xml:space="preserve">Наградата „Предприемчив европейски регион“ (ПЕР) е инициатива на Комитета на регионите, с която се отличават региони и градове в ЕС с изключителни, </w:t>
      </w:r>
      <w:r w:rsidRPr="000F7A40">
        <w:rPr>
          <w:b/>
        </w:rPr>
        <w:t>авангардни предприемачески стратегии</w:t>
      </w:r>
      <w:r w:rsidRPr="000F7A40">
        <w:t>, независимо от тяхната големина, богатство или специфични правомощия. На териториите с най-убедителна, видима, авангардна и перспективна политическа стратегия се присъжда знакът „Предприемчив европейски регион“ (ПЕР) за определена година.</w:t>
      </w:r>
    </w:p>
    <w:p w14:paraId="076F6F1C" w14:textId="77777777" w:rsidR="008A5C85" w:rsidRPr="000F7A40" w:rsidRDefault="008A5C85" w:rsidP="00B011DB"/>
    <w:p w14:paraId="59064502" w14:textId="77777777" w:rsidR="008A5C85" w:rsidRPr="000F7A40" w:rsidRDefault="008A5C85" w:rsidP="001E20B2">
      <w:r w:rsidRPr="000F7A40">
        <w:t>Целта на настоящата инициатива е двойна:</w:t>
      </w:r>
    </w:p>
    <w:p w14:paraId="609254A3" w14:textId="77777777" w:rsidR="008A5C85" w:rsidRPr="000F7A40" w:rsidRDefault="008A5C85" w:rsidP="001E20B2"/>
    <w:p w14:paraId="68C5D52B" w14:textId="77777777" w:rsidR="008A5C85" w:rsidRPr="000F7A40" w:rsidRDefault="008A5C85" w:rsidP="001E20B2">
      <w:pPr>
        <w:numPr>
          <w:ilvl w:val="0"/>
          <w:numId w:val="15"/>
        </w:numPr>
      </w:pPr>
      <w:r w:rsidRPr="000F7A40">
        <w:t>да допринесе за прилагането в партньорство на Законодателния акт за малкия бизнес (</w:t>
      </w:r>
      <w:proofErr w:type="spellStart"/>
      <w:r w:rsidRPr="000F7A40">
        <w:rPr>
          <w:b/>
        </w:rPr>
        <w:t>Small</w:t>
      </w:r>
      <w:proofErr w:type="spellEnd"/>
      <w:r w:rsidRPr="000F7A40">
        <w:rPr>
          <w:b/>
        </w:rPr>
        <w:t xml:space="preserve"> </w:t>
      </w:r>
      <w:proofErr w:type="spellStart"/>
      <w:r w:rsidRPr="000F7A40">
        <w:rPr>
          <w:b/>
        </w:rPr>
        <w:t>Business</w:t>
      </w:r>
      <w:proofErr w:type="spellEnd"/>
      <w:r w:rsidRPr="000F7A40">
        <w:rPr>
          <w:b/>
        </w:rPr>
        <w:t xml:space="preserve"> </w:t>
      </w:r>
      <w:proofErr w:type="spellStart"/>
      <w:r w:rsidRPr="000F7A40">
        <w:rPr>
          <w:b/>
        </w:rPr>
        <w:t>Act</w:t>
      </w:r>
      <w:proofErr w:type="spellEnd"/>
      <w:r w:rsidRPr="000F7A40">
        <w:t xml:space="preserve"> – SBA);</w:t>
      </w:r>
    </w:p>
    <w:p w14:paraId="088FB84D" w14:textId="77777777" w:rsidR="008A5C85" w:rsidRPr="000F7A40" w:rsidRDefault="008A5C85" w:rsidP="001E20B2">
      <w:pPr>
        <w:numPr>
          <w:ilvl w:val="0"/>
          <w:numId w:val="15"/>
        </w:numPr>
      </w:pPr>
      <w:r w:rsidRPr="000F7A40">
        <w:t xml:space="preserve">да се демонстрира </w:t>
      </w:r>
      <w:r w:rsidRPr="000F7A40">
        <w:rPr>
          <w:b/>
        </w:rPr>
        <w:t>оптималното използване на фондовете на ЕС и други публични фондове</w:t>
      </w:r>
      <w:r w:rsidRPr="000F7A40">
        <w:t>, насочени към развитието на предприемаческа политика в рамките на региона.</w:t>
      </w:r>
    </w:p>
    <w:p w14:paraId="0C9E281C" w14:textId="77777777" w:rsidR="008A5C85" w:rsidRPr="000F7A40" w:rsidRDefault="008A5C85" w:rsidP="001E20B2"/>
    <w:p w14:paraId="2A756E40" w14:textId="433E5113" w:rsidR="008A5C85" w:rsidRPr="000F7A40" w:rsidRDefault="008A5C85" w:rsidP="001E20B2">
      <w:r w:rsidRPr="000F7A40">
        <w:t>Посредством инициативата ПЕР Комитетът на регионите (КР) допринася за налагането на принципите на SBA на местно и регионално равнище. Знакът ПЕР е възможност за действащите лица на местно и регионално равнище да демонстрират съществената роля, която МСП и предприемачите играят за засилване на устойчивостта на икономиката. Използвайки техния потенциал за създаване на растеж и работни места, знакът ПЕР позволява на регионите в ЕС да напредват по пътя на икономическото възстановяване.</w:t>
      </w:r>
    </w:p>
    <w:p w14:paraId="761349F0" w14:textId="77777777" w:rsidR="008A5C85" w:rsidRPr="000F7A40" w:rsidRDefault="008A5C85" w:rsidP="001E20B2"/>
    <w:p w14:paraId="5D088155" w14:textId="42CE492C" w:rsidR="006F74DC" w:rsidRPr="000F7A40" w:rsidRDefault="008A5C85" w:rsidP="001E20B2">
      <w:r w:rsidRPr="000F7A40">
        <w:t xml:space="preserve">Схемата ПЕР следва </w:t>
      </w:r>
      <w:r w:rsidRPr="000F7A40">
        <w:rPr>
          <w:b/>
        </w:rPr>
        <w:t>подход на многостепенно управление</w:t>
      </w:r>
      <w:r w:rsidRPr="000F7A40">
        <w:t>, като се насърчават регионални общности в ПЕР, в които са представени както регионални, така и местни действащи лица. ПЕР дава на определящите политиките и заинтересованите страни силен тласък за съвместно разработване на стратегии за прилагане на принципите на SBA, като „Да се създаде среда, в която предприемачите могат да преуспяват“, „Мисли първо за малките“, „Да се създаде готовност от страна на държавните администрации да откликват на нуждите на МСП“ и „Да се подпомагат МСП да се възползват от растежа на пазарите“. Така ПЕР спомага за създаването на предприемачески, динамични и зелени региони в цяла Европа.</w:t>
      </w:r>
    </w:p>
    <w:p w14:paraId="2A56918B" w14:textId="77777777" w:rsidR="00D56B68" w:rsidRPr="000F7A40" w:rsidRDefault="00D56B68" w:rsidP="001E20B2"/>
    <w:p w14:paraId="561A380B" w14:textId="7F8AFEA2" w:rsidR="00EA4DF1" w:rsidRPr="000F7A40" w:rsidRDefault="00FD3AE5">
      <w:pPr>
        <w:keepNext/>
      </w:pPr>
      <w:r w:rsidRPr="000F7A40">
        <w:t>Досега със знака ПЕР са отличени двадесет и седем европейски териториални единици:</w:t>
      </w:r>
    </w:p>
    <w:p w14:paraId="46E4E0D4" w14:textId="77777777" w:rsidR="006F74DC" w:rsidRPr="000F7A40" w:rsidRDefault="006F74DC">
      <w:pPr>
        <w:keepNext/>
      </w:pPr>
    </w:p>
    <w:p w14:paraId="5591EEE5" w14:textId="77777777" w:rsidR="00802A44" w:rsidRPr="000F7A40" w:rsidRDefault="00EA4DF1">
      <w:pPr>
        <w:keepNext/>
        <w:numPr>
          <w:ilvl w:val="0"/>
          <w:numId w:val="23"/>
        </w:numPr>
      </w:pPr>
      <w:r w:rsidRPr="000F7A40">
        <w:rPr>
          <w:b/>
        </w:rPr>
        <w:t>през 2011 г.</w:t>
      </w:r>
      <w:r w:rsidRPr="000F7A40">
        <w:t xml:space="preserve">: Бранденбург (Германия), Графство </w:t>
      </w:r>
      <w:proofErr w:type="spellStart"/>
      <w:r w:rsidRPr="000F7A40">
        <w:t>Кери</w:t>
      </w:r>
      <w:proofErr w:type="spellEnd"/>
      <w:r w:rsidRPr="000F7A40">
        <w:t xml:space="preserve"> (Ирландия) и региона на Мурсия (Испания);</w:t>
      </w:r>
    </w:p>
    <w:p w14:paraId="5A86A4C7" w14:textId="77777777" w:rsidR="00EA4DF1" w:rsidRPr="000F7A40" w:rsidRDefault="00EA4DF1">
      <w:pPr>
        <w:keepNext/>
        <w:numPr>
          <w:ilvl w:val="0"/>
          <w:numId w:val="23"/>
        </w:numPr>
      </w:pPr>
      <w:r w:rsidRPr="000F7A40">
        <w:rPr>
          <w:b/>
        </w:rPr>
        <w:t>през 2012 г.</w:t>
      </w:r>
      <w:r w:rsidRPr="000F7A40">
        <w:t xml:space="preserve">: </w:t>
      </w:r>
      <w:proofErr w:type="spellStart"/>
      <w:r w:rsidRPr="000F7A40">
        <w:t>Каталония</w:t>
      </w:r>
      <w:proofErr w:type="spellEnd"/>
      <w:r w:rsidRPr="000F7A40">
        <w:t xml:space="preserve"> (Испания), </w:t>
      </w:r>
      <w:proofErr w:type="spellStart"/>
      <w:r w:rsidRPr="000F7A40">
        <w:t>Хелзинки-Уусимаа</w:t>
      </w:r>
      <w:proofErr w:type="spellEnd"/>
      <w:r w:rsidRPr="000F7A40">
        <w:t xml:space="preserve"> (Финландия) и Търнава (Словакия);</w:t>
      </w:r>
    </w:p>
    <w:p w14:paraId="7A6C3B1C" w14:textId="77777777" w:rsidR="00EA4DF1" w:rsidRPr="000F7A40" w:rsidRDefault="00EA4DF1" w:rsidP="001E20B2">
      <w:pPr>
        <w:numPr>
          <w:ilvl w:val="0"/>
          <w:numId w:val="23"/>
        </w:numPr>
      </w:pPr>
      <w:r w:rsidRPr="000F7A40">
        <w:rPr>
          <w:b/>
        </w:rPr>
        <w:t>през 2013 г.</w:t>
      </w:r>
      <w:r w:rsidRPr="000F7A40">
        <w:t xml:space="preserve">: </w:t>
      </w:r>
      <w:proofErr w:type="spellStart"/>
      <w:r w:rsidRPr="000F7A40">
        <w:t>Нор-Па-дьо-Кале</w:t>
      </w:r>
      <w:proofErr w:type="spellEnd"/>
      <w:r w:rsidRPr="000F7A40">
        <w:t xml:space="preserve"> (Франция), Южна Дания и </w:t>
      </w:r>
      <w:proofErr w:type="spellStart"/>
      <w:r w:rsidRPr="000F7A40">
        <w:t>Щирия</w:t>
      </w:r>
      <w:proofErr w:type="spellEnd"/>
      <w:r w:rsidRPr="000F7A40">
        <w:t xml:space="preserve"> (Австрия);</w:t>
      </w:r>
    </w:p>
    <w:p w14:paraId="252492B1" w14:textId="77777777" w:rsidR="00EA4DF1" w:rsidRPr="000F7A40" w:rsidRDefault="00EA4DF1" w:rsidP="001E20B2">
      <w:pPr>
        <w:numPr>
          <w:ilvl w:val="0"/>
          <w:numId w:val="23"/>
        </w:numPr>
      </w:pPr>
      <w:r w:rsidRPr="000F7A40">
        <w:rPr>
          <w:b/>
        </w:rPr>
        <w:t>през 2014 г.</w:t>
      </w:r>
      <w:r w:rsidRPr="000F7A40">
        <w:t xml:space="preserve">: Фландрия (Белгия), </w:t>
      </w:r>
      <w:proofErr w:type="spellStart"/>
      <w:r w:rsidRPr="000F7A40">
        <w:t>Марке</w:t>
      </w:r>
      <w:proofErr w:type="spellEnd"/>
      <w:r w:rsidRPr="000F7A40">
        <w:t xml:space="preserve"> (Италия) и Северен </w:t>
      </w:r>
      <w:proofErr w:type="spellStart"/>
      <w:r w:rsidRPr="000F7A40">
        <w:t>Брабант</w:t>
      </w:r>
      <w:proofErr w:type="spellEnd"/>
      <w:r w:rsidRPr="000F7A40">
        <w:t xml:space="preserve"> (Нидерландия);</w:t>
      </w:r>
    </w:p>
    <w:p w14:paraId="071C4AF9" w14:textId="77777777" w:rsidR="00FA4420" w:rsidRPr="000F7A40" w:rsidRDefault="008A5C85" w:rsidP="001E20B2">
      <w:pPr>
        <w:numPr>
          <w:ilvl w:val="0"/>
          <w:numId w:val="23"/>
        </w:numPr>
      </w:pPr>
      <w:r w:rsidRPr="000F7A40">
        <w:rPr>
          <w:b/>
        </w:rPr>
        <w:t>през 2015 г.</w:t>
      </w:r>
      <w:r w:rsidRPr="000F7A40">
        <w:t>: Лисабон (Португалия), Северна Ирландия (Обединеното кралство) и региона Валенсия (Испания);</w:t>
      </w:r>
    </w:p>
    <w:p w14:paraId="6374EE8C" w14:textId="78FFD3F2" w:rsidR="00FD3AE5" w:rsidRPr="000F7A40" w:rsidRDefault="00FA4420" w:rsidP="00FA4420">
      <w:pPr>
        <w:numPr>
          <w:ilvl w:val="0"/>
          <w:numId w:val="23"/>
        </w:numPr>
      </w:pPr>
      <w:r w:rsidRPr="000F7A40">
        <w:rPr>
          <w:b/>
        </w:rPr>
        <w:t>през 2016 г.</w:t>
      </w:r>
      <w:r w:rsidRPr="000F7A40">
        <w:t xml:space="preserve">: Глазгоу (Обединеното кралство), Ломбардия (Италия) и </w:t>
      </w:r>
      <w:proofErr w:type="spellStart"/>
      <w:r w:rsidRPr="000F7A40">
        <w:t>Малополска</w:t>
      </w:r>
      <w:proofErr w:type="spellEnd"/>
      <w:r w:rsidRPr="000F7A40">
        <w:t xml:space="preserve"> (Полша);</w:t>
      </w:r>
    </w:p>
    <w:p w14:paraId="17F064A0" w14:textId="77777777" w:rsidR="00EF6742" w:rsidRPr="000F7A40" w:rsidRDefault="00FD3AE5" w:rsidP="00FA4420">
      <w:pPr>
        <w:numPr>
          <w:ilvl w:val="0"/>
          <w:numId w:val="23"/>
        </w:numPr>
      </w:pPr>
      <w:r w:rsidRPr="000F7A40">
        <w:rPr>
          <w:b/>
        </w:rPr>
        <w:t>през 2017 г.</w:t>
      </w:r>
      <w:r w:rsidRPr="000F7A40">
        <w:t xml:space="preserve">: </w:t>
      </w:r>
      <w:proofErr w:type="spellStart"/>
      <w:r w:rsidRPr="000F7A40">
        <w:t>Естремадура</w:t>
      </w:r>
      <w:proofErr w:type="spellEnd"/>
      <w:r w:rsidRPr="000F7A40">
        <w:t xml:space="preserve"> (Испания), Долна Австрия(</w:t>
      </w:r>
      <w:proofErr w:type="spellStart"/>
      <w:r w:rsidRPr="000F7A40">
        <w:t>Австрия</w:t>
      </w:r>
      <w:proofErr w:type="spellEnd"/>
      <w:r w:rsidRPr="000F7A40">
        <w:t>), Западна Гърция (Гърция);</w:t>
      </w:r>
    </w:p>
    <w:p w14:paraId="7C5119F3" w14:textId="2B26C80C" w:rsidR="008A5C85" w:rsidRPr="000F7A40" w:rsidRDefault="00EF6742" w:rsidP="00FA4420">
      <w:pPr>
        <w:numPr>
          <w:ilvl w:val="0"/>
          <w:numId w:val="23"/>
        </w:numPr>
      </w:pPr>
      <w:r w:rsidRPr="000F7A40">
        <w:rPr>
          <w:b/>
        </w:rPr>
        <w:t>през 2018 г.</w:t>
      </w:r>
      <w:r w:rsidRPr="000F7A40">
        <w:t xml:space="preserve">: Централна Македония (Гърция), Ил дьо Франс (Франция) и </w:t>
      </w:r>
      <w:r w:rsidR="00E91EC5">
        <w:t>Северозападен регион (Ирландия);</w:t>
      </w:r>
    </w:p>
    <w:p w14:paraId="3E09246F" w14:textId="243D8097" w:rsidR="00DC78EB" w:rsidRPr="000F7A40" w:rsidRDefault="00DC78EB" w:rsidP="00FA4420">
      <w:pPr>
        <w:numPr>
          <w:ilvl w:val="0"/>
          <w:numId w:val="23"/>
        </w:numPr>
      </w:pPr>
      <w:r w:rsidRPr="000F7A40">
        <w:rPr>
          <w:b/>
        </w:rPr>
        <w:t>през 2019 г.:</w:t>
      </w:r>
      <w:r w:rsidRPr="000F7A40">
        <w:t xml:space="preserve"> Астурия (Испания), </w:t>
      </w:r>
      <w:proofErr w:type="spellStart"/>
      <w:r w:rsidRPr="000F7A40">
        <w:t>Хелдерланд</w:t>
      </w:r>
      <w:proofErr w:type="spellEnd"/>
      <w:r w:rsidRPr="000F7A40">
        <w:t xml:space="preserve"> (Нидерландия) и Тесалия (Гърция).</w:t>
      </w:r>
    </w:p>
    <w:p w14:paraId="4E5D7896" w14:textId="77777777" w:rsidR="00C12E76" w:rsidRPr="000F7A40" w:rsidRDefault="00C12E76" w:rsidP="001E20B2"/>
    <w:p w14:paraId="72E7EF53" w14:textId="77777777" w:rsidR="009443CB" w:rsidRPr="000F7A40" w:rsidRDefault="009443CB" w:rsidP="00D9169E">
      <w:r w:rsidRPr="000F7A40">
        <w:t xml:space="preserve">Знакът „ПЕР“ е създаден от </w:t>
      </w:r>
      <w:r w:rsidRPr="000F7A40">
        <w:rPr>
          <w:b/>
        </w:rPr>
        <w:t>Комитета на регионите</w:t>
      </w:r>
      <w:r w:rsidRPr="000F7A40">
        <w:t xml:space="preserve"> в партньорство с </w:t>
      </w:r>
      <w:r w:rsidRPr="000F7A40">
        <w:rPr>
          <w:b/>
        </w:rPr>
        <w:t>Европейската комисия</w:t>
      </w:r>
      <w:r w:rsidRPr="000F7A40">
        <w:t xml:space="preserve"> и с подкрепата на </w:t>
      </w:r>
      <w:r w:rsidRPr="000F7A40">
        <w:rPr>
          <w:b/>
        </w:rPr>
        <w:t>Европейския парламент</w:t>
      </w:r>
      <w:r w:rsidRPr="000F7A40">
        <w:t xml:space="preserve">, </w:t>
      </w:r>
      <w:r w:rsidRPr="000F7A40">
        <w:rPr>
          <w:b/>
        </w:rPr>
        <w:t>Европейския икономически и социален комитет</w:t>
      </w:r>
      <w:r w:rsidRPr="000F7A40">
        <w:t xml:space="preserve"> и заинтересовани страни на равнище ЕС, като </w:t>
      </w:r>
      <w:r w:rsidRPr="000F7A40">
        <w:rPr>
          <w:b/>
        </w:rPr>
        <w:t>Европейската асоциация на занаятчиите, малките и средните предприятия (UEAPME), Асоциацията на европейските търговски палати (</w:t>
      </w:r>
      <w:proofErr w:type="spellStart"/>
      <w:r w:rsidRPr="000F7A40">
        <w:rPr>
          <w:b/>
        </w:rPr>
        <w:t>Eurochambres</w:t>
      </w:r>
      <w:proofErr w:type="spellEnd"/>
      <w:r w:rsidRPr="000F7A40">
        <w:rPr>
          <w:b/>
        </w:rPr>
        <w:t>) и Социална икономика Европа</w:t>
      </w:r>
      <w:r w:rsidRPr="000F7A40">
        <w:t>.</w:t>
      </w:r>
    </w:p>
    <w:p w14:paraId="46D54561" w14:textId="77777777" w:rsidR="009443CB" w:rsidRPr="000F7A40" w:rsidRDefault="009443CB" w:rsidP="00B011DB"/>
    <w:p w14:paraId="7ED3683C" w14:textId="10843D50" w:rsidR="00802A44" w:rsidRPr="000F7A40" w:rsidRDefault="009443CB" w:rsidP="001E20B2">
      <w:r w:rsidRPr="000F7A40">
        <w:t xml:space="preserve">Комитетът на регионите отправи </w:t>
      </w:r>
      <w:r w:rsidRPr="000F7A40">
        <w:rPr>
          <w:b/>
        </w:rPr>
        <w:t>покана за внасяне на кандидатури за ПЕР 2020 г.</w:t>
      </w:r>
      <w:r w:rsidRPr="000F7A40">
        <w:t xml:space="preserve"> на 19</w:t>
      </w:r>
      <w:r w:rsidR="002568CE" w:rsidRPr="000F7A40">
        <w:rPr>
          <w:lang w:val="en-GB"/>
        </w:rPr>
        <w:t> </w:t>
      </w:r>
      <w:r w:rsidRPr="000F7A40">
        <w:t xml:space="preserve">ноември 2018 г. Крайният срок за подаване на кандидатурите е </w:t>
      </w:r>
      <w:r w:rsidRPr="000F7A40">
        <w:rPr>
          <w:b/>
        </w:rPr>
        <w:t>27 март 2019 г.</w:t>
      </w:r>
    </w:p>
    <w:p w14:paraId="0F52C960" w14:textId="77777777" w:rsidR="00745060" w:rsidRPr="000F7A40" w:rsidRDefault="00745060" w:rsidP="001E20B2"/>
    <w:p w14:paraId="760419D9" w14:textId="77777777" w:rsidR="008A5C85" w:rsidRPr="000F7A40" w:rsidRDefault="008A5C85" w:rsidP="00763754">
      <w:pPr>
        <w:keepNext/>
        <w:rPr>
          <w:b/>
        </w:rPr>
      </w:pPr>
      <w:r w:rsidRPr="000F7A40">
        <w:rPr>
          <w:b/>
        </w:rPr>
        <w:t>Как се кандидатства?</w:t>
      </w:r>
    </w:p>
    <w:p w14:paraId="16609FF5" w14:textId="77777777" w:rsidR="006F74DC" w:rsidRPr="000F7A40" w:rsidRDefault="006F74DC" w:rsidP="00763754">
      <w:pPr>
        <w:keepNext/>
      </w:pPr>
    </w:p>
    <w:p w14:paraId="13E532BA" w14:textId="77777777" w:rsidR="00D07992" w:rsidRPr="000F7A40" w:rsidRDefault="00D56B68" w:rsidP="001E20B2">
      <w:r w:rsidRPr="000F7A40">
        <w:t xml:space="preserve">Представете своята кандидатура, която включва следните документи: </w:t>
      </w:r>
    </w:p>
    <w:p w14:paraId="5AD7D04D" w14:textId="77777777" w:rsidR="006F74DC" w:rsidRPr="000F7A40" w:rsidRDefault="006F74DC" w:rsidP="001E20B2"/>
    <w:p w14:paraId="245F05CC" w14:textId="77777777" w:rsidR="008A5C85" w:rsidRPr="000F7A40" w:rsidRDefault="008A5C85" w:rsidP="00D9169E">
      <w:pPr>
        <w:numPr>
          <w:ilvl w:val="0"/>
          <w:numId w:val="17"/>
        </w:numPr>
      </w:pPr>
      <w:r w:rsidRPr="000F7A40">
        <w:rPr>
          <w:b/>
        </w:rPr>
        <w:t>формуляр за кандидатстване</w:t>
      </w:r>
      <w:r w:rsidRPr="000F7A40">
        <w:t>, включително информационен фиш относно административно-териториалната единица на кандидата, изложение на политическата му визия, описание на предвидения механизъм на управление за гарантиране на ефективно изпълнение на действията във връзка с ПЕС, както и план за действие и план за комуникация;</w:t>
      </w:r>
    </w:p>
    <w:p w14:paraId="6C6E2532" w14:textId="77777777" w:rsidR="008A5C85" w:rsidRPr="000F7A40" w:rsidRDefault="008A5C85" w:rsidP="00B011DB">
      <w:pPr>
        <w:numPr>
          <w:ilvl w:val="0"/>
          <w:numId w:val="17"/>
        </w:numPr>
      </w:pPr>
      <w:r w:rsidRPr="000F7A40">
        <w:rPr>
          <w:b/>
        </w:rPr>
        <w:t>декларация за политически ангажимент</w:t>
      </w:r>
      <w:r w:rsidRPr="000F7A40">
        <w:t>, с която се удостоверява, че стратегията на административно-териториалната единица във връзка с ПЕР се подкрепя от политическото му ръководство (напр. регионалната асамблея, регионалното правителство или друг оторизиран политически орган).</w:t>
      </w:r>
    </w:p>
    <w:p w14:paraId="5895D0F2" w14:textId="77777777" w:rsidR="008A5C85" w:rsidRPr="000F7A40" w:rsidRDefault="008A5C85" w:rsidP="00B011DB"/>
    <w:p w14:paraId="067DAF68" w14:textId="3312D720" w:rsidR="008A5C85" w:rsidRDefault="008A5C85" w:rsidP="001E20B2">
      <w:pPr>
        <w:rPr>
          <w:lang w:val="en-GB"/>
        </w:rPr>
      </w:pPr>
      <w:r w:rsidRPr="000F7A40">
        <w:t>Формулярът за кандидатстване може да бъде изтеглен от интернет страницата на ПЕР:</w:t>
      </w:r>
      <w:r w:rsidR="000C25B6" w:rsidRPr="000C25B6">
        <w:t xml:space="preserve"> </w:t>
      </w:r>
      <w:hyperlink r:id="rId16" w:history="1">
        <w:r w:rsidR="000C25B6" w:rsidRPr="003656F3">
          <w:rPr>
            <w:rStyle w:val="Hyperlink"/>
          </w:rPr>
          <w:t>https://cor.europa.eu/en/engage/Pages/european-entrepreneurial-region.aspx</w:t>
        </w:r>
      </w:hyperlink>
    </w:p>
    <w:p w14:paraId="06FE776A" w14:textId="77777777" w:rsidR="000C25B6" w:rsidRPr="000C25B6" w:rsidRDefault="000C25B6" w:rsidP="001E20B2">
      <w:pPr>
        <w:rPr>
          <w:lang w:val="en-GB"/>
        </w:rPr>
      </w:pPr>
    </w:p>
    <w:p w14:paraId="1EBED3F1" w14:textId="77777777" w:rsidR="00C8582F" w:rsidRPr="000F7A40" w:rsidRDefault="00C8582F" w:rsidP="001E20B2"/>
    <w:p w14:paraId="19D59002" w14:textId="77777777" w:rsidR="008A5C85" w:rsidRPr="000F7A40" w:rsidRDefault="008A5C85" w:rsidP="00E91EC5">
      <w:pPr>
        <w:keepNext/>
        <w:keepLines/>
      </w:pPr>
      <w:r w:rsidRPr="000F7A40">
        <w:rPr>
          <w:b/>
        </w:rPr>
        <w:lastRenderedPageBreak/>
        <w:t>Критерии за оценка</w:t>
      </w:r>
    </w:p>
    <w:p w14:paraId="31024CD5" w14:textId="77777777" w:rsidR="008A5C85" w:rsidRPr="000F7A40" w:rsidRDefault="008A5C85" w:rsidP="00E91EC5">
      <w:pPr>
        <w:keepNext/>
        <w:keepLines/>
      </w:pPr>
    </w:p>
    <w:p w14:paraId="404A5262" w14:textId="77777777" w:rsidR="008A5C85" w:rsidRPr="000F7A40" w:rsidRDefault="008A5C85" w:rsidP="00E91EC5">
      <w:pPr>
        <w:keepNext/>
        <w:keepLines/>
      </w:pPr>
      <w:r w:rsidRPr="000F7A40">
        <w:t xml:space="preserve">Кандидатурите ще бъдат оценявани по следните критерии: </w:t>
      </w:r>
    </w:p>
    <w:p w14:paraId="7E474C9E" w14:textId="77777777" w:rsidR="008A5C85" w:rsidRPr="000F7A40" w:rsidRDefault="008A5C85" w:rsidP="00E91EC5">
      <w:pPr>
        <w:keepNext/>
        <w:keepLines/>
      </w:pPr>
    </w:p>
    <w:p w14:paraId="1053537F" w14:textId="77777777" w:rsidR="008A5C85" w:rsidRPr="000F7A40" w:rsidRDefault="008A5C85" w:rsidP="00E91EC5">
      <w:pPr>
        <w:pStyle w:val="ListParagraph"/>
        <w:keepNext/>
        <w:keepLines/>
        <w:numPr>
          <w:ilvl w:val="0"/>
          <w:numId w:val="24"/>
        </w:numPr>
        <w:ind w:left="360"/>
        <w:rPr>
          <w:bCs/>
          <w:iCs/>
        </w:rPr>
      </w:pPr>
      <w:r w:rsidRPr="000F7A40">
        <w:rPr>
          <w:b/>
        </w:rPr>
        <w:t>Политическа визия и ангажираност</w:t>
      </w:r>
    </w:p>
    <w:p w14:paraId="67B6D99E" w14:textId="3CFED7B1" w:rsidR="008A5C85" w:rsidRPr="000F7A40" w:rsidRDefault="008A5C85" w:rsidP="00E91EC5">
      <w:pPr>
        <w:keepNext/>
        <w:keepLines/>
        <w:numPr>
          <w:ilvl w:val="0"/>
          <w:numId w:val="18"/>
        </w:numPr>
      </w:pPr>
      <w:r w:rsidRPr="000F7A40">
        <w:t xml:space="preserve">Кандидатурите демонстрират ориентирана към бъдещето политическа визия за прилагането на </w:t>
      </w:r>
      <w:r w:rsidRPr="000F7A40">
        <w:rPr>
          <w:b/>
        </w:rPr>
        <w:t>Законодателния акт за малкия бизнес в Европа</w:t>
      </w:r>
      <w:r w:rsidRPr="000F7A40">
        <w:t xml:space="preserve"> в съответната територия, като, в случай че е целесъобразно, се поставя акцент върху текущите приоритети на SBA и принципите на свързаните политически инициативи, като плана за действие „Предприемачество 2020 г.“, Зеления план за действие за МСП и инициативата за подкрепа на стартира</w:t>
      </w:r>
      <w:r w:rsidR="002568CE" w:rsidRPr="000F7A40">
        <w:t>щи и разрастващи се предприятия;</w:t>
      </w:r>
    </w:p>
    <w:p w14:paraId="6CC78239" w14:textId="073522AC" w:rsidR="008A5C85" w:rsidRPr="000F7A40" w:rsidRDefault="008A5C85" w:rsidP="001E20B2">
      <w:pPr>
        <w:numPr>
          <w:ilvl w:val="0"/>
          <w:numId w:val="18"/>
        </w:numPr>
        <w:rPr>
          <w:bCs/>
          <w:iCs/>
        </w:rPr>
      </w:pPr>
      <w:r w:rsidRPr="000F7A40">
        <w:t xml:space="preserve">Кандидатурите се базират на </w:t>
      </w:r>
      <w:r w:rsidRPr="000F7A40">
        <w:rPr>
          <w:b/>
        </w:rPr>
        <w:t>реалистична оценка</w:t>
      </w:r>
      <w:r w:rsidRPr="000F7A40">
        <w:t xml:space="preserve"> на силните и слабите страни на съответната територия </w:t>
      </w:r>
      <w:r w:rsidRPr="000F7A40">
        <w:rPr>
          <w:b/>
        </w:rPr>
        <w:t>(SWOT анализ)</w:t>
      </w:r>
      <w:r w:rsidRPr="000F7A40">
        <w:t xml:space="preserve"> и на преките ѝ правомощия по отношение на десетте принципа на SBA. Журито взема предвид </w:t>
      </w:r>
      <w:r w:rsidRPr="000F7A40">
        <w:rPr>
          <w:b/>
        </w:rPr>
        <w:t>контекста и индивидуалната отправна точка</w:t>
      </w:r>
      <w:r w:rsidR="002568CE" w:rsidRPr="000F7A40">
        <w:t xml:space="preserve"> на всяка територия;</w:t>
      </w:r>
    </w:p>
    <w:p w14:paraId="3CDBC044" w14:textId="726F954D" w:rsidR="008A5C85" w:rsidRPr="000F7A40" w:rsidRDefault="008A5C85" w:rsidP="001E20B2">
      <w:pPr>
        <w:numPr>
          <w:ilvl w:val="0"/>
          <w:numId w:val="18"/>
        </w:numPr>
        <w:rPr>
          <w:bCs/>
          <w:iCs/>
        </w:rPr>
      </w:pPr>
      <w:r w:rsidRPr="000F7A40">
        <w:t xml:space="preserve">Политическата визия показва </w:t>
      </w:r>
      <w:r w:rsidRPr="000F7A40">
        <w:rPr>
          <w:b/>
        </w:rPr>
        <w:t>очевидната добавена стойност на наградата ПЕР</w:t>
      </w:r>
      <w:r w:rsidRPr="000F7A40">
        <w:t xml:space="preserve"> за територията, включително за собствения ѝ пр</w:t>
      </w:r>
      <w:r w:rsidR="002568CE" w:rsidRPr="000F7A40">
        <w:t>оцес на формулиране на политика;</w:t>
      </w:r>
    </w:p>
    <w:p w14:paraId="556BB869" w14:textId="16B9ACE1" w:rsidR="008A5C85" w:rsidRPr="000F7A40" w:rsidRDefault="008A5C85" w:rsidP="001E20B2">
      <w:pPr>
        <w:numPr>
          <w:ilvl w:val="0"/>
          <w:numId w:val="18"/>
        </w:numPr>
        <w:rPr>
          <w:bCs/>
          <w:iCs/>
        </w:rPr>
      </w:pPr>
      <w:r w:rsidRPr="000F7A40">
        <w:t xml:space="preserve">Териториалните цели във връзка с ПЕР са включени в </w:t>
      </w:r>
      <w:r w:rsidRPr="000F7A40">
        <w:rPr>
          <w:b/>
        </w:rPr>
        <w:t>стратегия за регионално развитие</w:t>
      </w:r>
      <w:r w:rsidR="002568CE" w:rsidRPr="000F7A40">
        <w:t>;</w:t>
      </w:r>
    </w:p>
    <w:p w14:paraId="208E6778" w14:textId="77777777" w:rsidR="008A5C85" w:rsidRPr="000F7A40" w:rsidRDefault="008A5C85" w:rsidP="001E20B2">
      <w:pPr>
        <w:numPr>
          <w:ilvl w:val="0"/>
          <w:numId w:val="18"/>
        </w:numPr>
        <w:rPr>
          <w:bCs/>
          <w:iCs/>
        </w:rPr>
      </w:pPr>
      <w:r w:rsidRPr="000F7A40">
        <w:t xml:space="preserve">Компетентните политически власти поемат </w:t>
      </w:r>
      <w:r w:rsidRPr="000F7A40">
        <w:rPr>
          <w:b/>
        </w:rPr>
        <w:t>силен и убедителен ангажимент</w:t>
      </w:r>
      <w:r w:rsidRPr="000F7A40">
        <w:t xml:space="preserve"> за изпълнение на стратегията за ПЕР в съответната територия.</w:t>
      </w:r>
    </w:p>
    <w:p w14:paraId="12241979" w14:textId="77777777" w:rsidR="008A5C85" w:rsidRPr="000F7A40" w:rsidRDefault="008A5C85" w:rsidP="001E20B2">
      <w:pPr>
        <w:rPr>
          <w:bCs/>
          <w:iCs/>
          <w:sz w:val="18"/>
        </w:rPr>
      </w:pPr>
    </w:p>
    <w:p w14:paraId="0DF1F740" w14:textId="77777777" w:rsidR="008A5C85" w:rsidRPr="000F7A40" w:rsidRDefault="008A5C85" w:rsidP="00763754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 w:rsidRPr="000F7A40">
        <w:rPr>
          <w:b/>
        </w:rPr>
        <w:t>Многостепенно управление, партньорство и сътрудничество</w:t>
      </w:r>
    </w:p>
    <w:p w14:paraId="16A6FFE2" w14:textId="23347A04" w:rsidR="008A5C85" w:rsidRPr="000F7A40" w:rsidRDefault="008A5C85" w:rsidP="001E20B2">
      <w:pPr>
        <w:numPr>
          <w:ilvl w:val="0"/>
          <w:numId w:val="19"/>
        </w:numPr>
        <w:contextualSpacing/>
        <w:rPr>
          <w:sz w:val="24"/>
        </w:rPr>
      </w:pPr>
      <w:r w:rsidRPr="000F7A40">
        <w:t xml:space="preserve">Стратегията за ПЕР се подготвя и изпълнява при спазване на подхода на </w:t>
      </w:r>
      <w:r w:rsidRPr="000F7A40">
        <w:rPr>
          <w:b/>
        </w:rPr>
        <w:t>многостепенно управление</w:t>
      </w:r>
      <w:r w:rsidRPr="000F7A40">
        <w:t xml:space="preserve">, който включва както по-ниските равнища (области и др.), така и националното </w:t>
      </w:r>
      <w:r w:rsidR="002568CE" w:rsidRPr="000F7A40">
        <w:t>равнище, когато това е възможно;</w:t>
      </w:r>
    </w:p>
    <w:p w14:paraId="1FB34C55" w14:textId="20E9E8B9" w:rsidR="008A5C85" w:rsidRPr="000F7A40" w:rsidRDefault="008A5C85" w:rsidP="001E20B2">
      <w:pPr>
        <w:numPr>
          <w:ilvl w:val="0"/>
          <w:numId w:val="19"/>
        </w:numPr>
        <w:rPr>
          <w:bCs/>
          <w:iCs/>
        </w:rPr>
      </w:pPr>
      <w:r w:rsidRPr="000F7A40">
        <w:t xml:space="preserve">Широк кръг от </w:t>
      </w:r>
      <w:r w:rsidRPr="000F7A40">
        <w:rPr>
          <w:b/>
        </w:rPr>
        <w:t>заинтересовани участници</w:t>
      </w:r>
      <w:r w:rsidRPr="000F7A40">
        <w:t xml:space="preserve"> са ангажирани с формулирането и изпълнението на стратегията за ПЕР, включително икономически и социални партньори, учебни заведения и изследователски орга</w:t>
      </w:r>
      <w:r w:rsidR="002568CE" w:rsidRPr="000F7A40">
        <w:t>низации и гражданското общество;</w:t>
      </w:r>
    </w:p>
    <w:p w14:paraId="3C841A71" w14:textId="77777777" w:rsidR="008A5C85" w:rsidRPr="000F7A40" w:rsidRDefault="008A5C85" w:rsidP="001E20B2">
      <w:pPr>
        <w:numPr>
          <w:ilvl w:val="0"/>
          <w:numId w:val="20"/>
        </w:numPr>
        <w:rPr>
          <w:bCs/>
          <w:iCs/>
        </w:rPr>
      </w:pPr>
      <w:r w:rsidRPr="000F7A40">
        <w:t xml:space="preserve">Ясно се посочва желанието за </w:t>
      </w:r>
      <w:r w:rsidRPr="000F7A40">
        <w:rPr>
          <w:b/>
        </w:rPr>
        <w:t>обмен на добри практики с други региони</w:t>
      </w:r>
      <w:r w:rsidRPr="000F7A40">
        <w:t xml:space="preserve"> и разработване на специфични </w:t>
      </w:r>
      <w:r w:rsidRPr="000F7A40">
        <w:rPr>
          <w:b/>
        </w:rPr>
        <w:t>инициативи за сътрудничество с други региони, удостоени със знака ПЕР</w:t>
      </w:r>
      <w:r w:rsidRPr="000F7A40">
        <w:t>.</w:t>
      </w:r>
    </w:p>
    <w:p w14:paraId="32F7386B" w14:textId="77777777" w:rsidR="008A5C85" w:rsidRPr="000F7A40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513C32C4" w14:textId="77777777" w:rsidR="008A5C85" w:rsidRPr="000F7A40" w:rsidRDefault="008A5C85" w:rsidP="00763754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 w:rsidRPr="000F7A40">
        <w:t>Изпълнение</w:t>
      </w:r>
    </w:p>
    <w:p w14:paraId="0D747780" w14:textId="6A6F6AAE" w:rsidR="008A5C85" w:rsidRPr="000F7A40" w:rsidRDefault="008A5C85" w:rsidP="001E20B2">
      <w:pPr>
        <w:numPr>
          <w:ilvl w:val="0"/>
          <w:numId w:val="21"/>
        </w:numPr>
        <w:rPr>
          <w:bCs/>
          <w:iCs/>
        </w:rPr>
      </w:pPr>
      <w:r w:rsidRPr="000F7A40">
        <w:t xml:space="preserve">Стратегията включва </w:t>
      </w:r>
      <w:r w:rsidRPr="000F7A40">
        <w:rPr>
          <w:b/>
        </w:rPr>
        <w:t>конкретни действия</w:t>
      </w:r>
      <w:r w:rsidRPr="000F7A40">
        <w:t xml:space="preserve"> за прилагането на принципите на SBA, които попадат в правомощията на територията посредством схемата ПЕР, и </w:t>
      </w:r>
      <w:r w:rsidRPr="000F7A40">
        <w:rPr>
          <w:b/>
        </w:rPr>
        <w:t>представлява повече от обобщение на съществуващите политики</w:t>
      </w:r>
      <w:r w:rsidR="002568CE" w:rsidRPr="000F7A40">
        <w:t>;</w:t>
      </w:r>
    </w:p>
    <w:p w14:paraId="48192B5D" w14:textId="65B1E31A" w:rsidR="008A5C85" w:rsidRPr="000F7A40" w:rsidRDefault="008A5C85" w:rsidP="001E20B2">
      <w:pPr>
        <w:numPr>
          <w:ilvl w:val="0"/>
          <w:numId w:val="21"/>
        </w:numPr>
        <w:rPr>
          <w:bCs/>
          <w:iCs/>
        </w:rPr>
      </w:pPr>
      <w:r w:rsidRPr="000F7A40">
        <w:t xml:space="preserve">Изпълнението на действията във връзка с ПЕР се придържа към принципите на добро управление и включва ефективни </w:t>
      </w:r>
      <w:r w:rsidRPr="000F7A40">
        <w:rPr>
          <w:b/>
        </w:rPr>
        <w:t>механизми за наблюдение и последващи действия</w:t>
      </w:r>
      <w:r w:rsidR="002568CE" w:rsidRPr="000F7A40">
        <w:t>;</w:t>
      </w:r>
    </w:p>
    <w:p w14:paraId="08A15BAA" w14:textId="335821E1" w:rsidR="008A5C85" w:rsidRPr="000F7A40" w:rsidRDefault="008A5C85" w:rsidP="001E20B2">
      <w:pPr>
        <w:numPr>
          <w:ilvl w:val="0"/>
          <w:numId w:val="21"/>
        </w:numPr>
        <w:rPr>
          <w:bCs/>
          <w:iCs/>
          <w:sz w:val="24"/>
        </w:rPr>
      </w:pPr>
      <w:r w:rsidRPr="000F7A40">
        <w:t xml:space="preserve">Предвиждат се </w:t>
      </w:r>
      <w:r w:rsidRPr="000F7A40">
        <w:rPr>
          <w:b/>
        </w:rPr>
        <w:t>показатели</w:t>
      </w:r>
      <w:r w:rsidRPr="000F7A40">
        <w:t>, спрямо които може да се измерва постигнатият напред</w:t>
      </w:r>
      <w:r w:rsidR="002568CE" w:rsidRPr="000F7A40">
        <w:t>ък по отношение на изпълнението;</w:t>
      </w:r>
    </w:p>
    <w:p w14:paraId="31464A2C" w14:textId="68BB1D38" w:rsidR="008A5C85" w:rsidRPr="000F7A40" w:rsidRDefault="008A5C85" w:rsidP="001E20B2">
      <w:pPr>
        <w:numPr>
          <w:ilvl w:val="0"/>
          <w:numId w:val="21"/>
        </w:numPr>
        <w:rPr>
          <w:bCs/>
          <w:iCs/>
          <w:sz w:val="24"/>
        </w:rPr>
      </w:pPr>
      <w:r w:rsidRPr="000F7A40">
        <w:t xml:space="preserve">В кандидатурата се включват мерки за гарантиране на </w:t>
      </w:r>
      <w:r w:rsidRPr="000F7A40">
        <w:rPr>
          <w:b/>
        </w:rPr>
        <w:t>оптималното използване на европейските структурни и инвестиционни фондове</w:t>
      </w:r>
      <w:r w:rsidR="002568CE" w:rsidRPr="000F7A40">
        <w:t xml:space="preserve"> и други публични средства;</w:t>
      </w:r>
    </w:p>
    <w:p w14:paraId="70984369" w14:textId="18AAFDE4" w:rsidR="008A5C85" w:rsidRPr="000F7A40" w:rsidRDefault="008A5C85" w:rsidP="001E20B2">
      <w:pPr>
        <w:numPr>
          <w:ilvl w:val="0"/>
          <w:numId w:val="21"/>
        </w:numPr>
        <w:rPr>
          <w:bCs/>
          <w:iCs/>
        </w:rPr>
      </w:pPr>
      <w:r w:rsidRPr="000F7A40">
        <w:t>Кандидатурата показва по какъв начин действията във връзка с ПЕР ще запазят</w:t>
      </w:r>
      <w:r w:rsidRPr="000F7A40">
        <w:rPr>
          <w:b/>
        </w:rPr>
        <w:t xml:space="preserve"> устойчивостта си след годината, за която се присъжда отличието ПЕР</w:t>
      </w:r>
      <w:r w:rsidR="002568CE" w:rsidRPr="000F7A40">
        <w:t>;</w:t>
      </w:r>
    </w:p>
    <w:p w14:paraId="1C5F13A6" w14:textId="77777777" w:rsidR="008A5C85" w:rsidRPr="000F7A40" w:rsidRDefault="008A5C85" w:rsidP="001E20B2">
      <w:pPr>
        <w:numPr>
          <w:ilvl w:val="0"/>
          <w:numId w:val="21"/>
        </w:numPr>
        <w:rPr>
          <w:bCs/>
          <w:iCs/>
        </w:rPr>
      </w:pPr>
      <w:r w:rsidRPr="000F7A40">
        <w:lastRenderedPageBreak/>
        <w:t xml:space="preserve">Предвидените действия отчитат </w:t>
      </w:r>
      <w:r w:rsidRPr="000F7A40">
        <w:rPr>
          <w:b/>
        </w:rPr>
        <w:t>социалното, екологичното и иновационното измерение, както и измерението на устойчивия растеж</w:t>
      </w:r>
      <w:r w:rsidRPr="000F7A40">
        <w:t xml:space="preserve"> на политиките за МСП, когато е възможно.</w:t>
      </w:r>
    </w:p>
    <w:p w14:paraId="06818E91" w14:textId="77777777" w:rsidR="008A5C85" w:rsidRPr="000F7A40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3346FA30" w14:textId="77777777" w:rsidR="008A5C85" w:rsidRPr="000F7A40" w:rsidRDefault="008A5C85" w:rsidP="00763754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 w:rsidRPr="000F7A40">
        <w:rPr>
          <w:b/>
        </w:rPr>
        <w:t>Комуникация</w:t>
      </w:r>
    </w:p>
    <w:p w14:paraId="44F8CF0A" w14:textId="615789CF" w:rsidR="008A5C85" w:rsidRPr="000F7A40" w:rsidRDefault="008A5C85" w:rsidP="001E20B2">
      <w:pPr>
        <w:numPr>
          <w:ilvl w:val="0"/>
          <w:numId w:val="22"/>
        </w:numPr>
        <w:rPr>
          <w:bCs/>
          <w:iCs/>
        </w:rPr>
      </w:pPr>
      <w:r w:rsidRPr="000F7A40">
        <w:t xml:space="preserve">Кандидатурата включва амбициозен и убедителен </w:t>
      </w:r>
      <w:r w:rsidRPr="000F7A40">
        <w:rPr>
          <w:b/>
        </w:rPr>
        <w:t>комуникационен план</w:t>
      </w:r>
      <w:r w:rsidRPr="000F7A40">
        <w:t xml:space="preserve"> със специфични действия </w:t>
      </w:r>
      <w:r w:rsidRPr="000F7A40">
        <w:rPr>
          <w:b/>
        </w:rPr>
        <w:t>на най-високо равнище</w:t>
      </w:r>
      <w:r w:rsidRPr="000F7A40">
        <w:t xml:space="preserve">, насочени към всички </w:t>
      </w:r>
      <w:r w:rsidRPr="000F7A40">
        <w:rPr>
          <w:b/>
        </w:rPr>
        <w:t>основни целеви групи</w:t>
      </w:r>
      <w:r w:rsidRPr="000F7A40">
        <w:t xml:space="preserve"> (включително МСП и </w:t>
      </w:r>
      <w:r w:rsidR="002568CE" w:rsidRPr="000F7A40">
        <w:t>други заинтересовани участници);</w:t>
      </w:r>
    </w:p>
    <w:p w14:paraId="182B970A" w14:textId="77777777" w:rsidR="008A5C85" w:rsidRPr="000F7A40" w:rsidRDefault="008A5C85" w:rsidP="001E20B2">
      <w:pPr>
        <w:numPr>
          <w:ilvl w:val="0"/>
          <w:numId w:val="22"/>
        </w:numPr>
        <w:rPr>
          <w:bCs/>
          <w:iCs/>
        </w:rPr>
      </w:pPr>
      <w:r w:rsidRPr="000F7A40">
        <w:rPr>
          <w:b/>
        </w:rPr>
        <w:t>Отличителният знак ПЕР</w:t>
      </w:r>
      <w:r w:rsidRPr="000F7A40">
        <w:t xml:space="preserve"> ще бъде използван за популяризиране на политиката на съответната територия както в нейните рамки, така и на равнище ЕС.</w:t>
      </w:r>
    </w:p>
    <w:p w14:paraId="5B4E1D65" w14:textId="77777777" w:rsidR="008A5C85" w:rsidRPr="000F7A40" w:rsidRDefault="008A5C85" w:rsidP="001E20B2">
      <w:pPr>
        <w:numPr>
          <w:ilvl w:val="0"/>
          <w:numId w:val="22"/>
        </w:numPr>
        <w:rPr>
          <w:bCs/>
          <w:iCs/>
        </w:rPr>
      </w:pPr>
      <w:r w:rsidRPr="000F7A40">
        <w:t xml:space="preserve">Планираните комуникационни действия ще подобрят </w:t>
      </w:r>
      <w:r w:rsidRPr="000F7A40">
        <w:rPr>
          <w:b/>
        </w:rPr>
        <w:t>видимостта на ЕС и на КР</w:t>
      </w:r>
      <w:r w:rsidRPr="000F7A40">
        <w:t>.</w:t>
      </w:r>
    </w:p>
    <w:p w14:paraId="5ECA7F76" w14:textId="77777777" w:rsidR="008A5C85" w:rsidRPr="000F7A40" w:rsidRDefault="008A5C85" w:rsidP="001E20B2"/>
    <w:p w14:paraId="1988AE8E" w14:textId="77777777" w:rsidR="008A5C85" w:rsidRPr="000F7A40" w:rsidRDefault="008A5C85" w:rsidP="001E20B2">
      <w:pPr>
        <w:keepNext/>
        <w:rPr>
          <w:b/>
        </w:rPr>
      </w:pPr>
      <w:r w:rsidRPr="000F7A40">
        <w:rPr>
          <w:b/>
        </w:rPr>
        <w:t>Право на участие</w:t>
      </w:r>
    </w:p>
    <w:p w14:paraId="2B9D4B83" w14:textId="77777777" w:rsidR="008A5C85" w:rsidRPr="000F7A40" w:rsidRDefault="008A5C85" w:rsidP="001E20B2">
      <w:pPr>
        <w:keepNext/>
      </w:pPr>
    </w:p>
    <w:p w14:paraId="4C66B6D5" w14:textId="77777777" w:rsidR="008A5C85" w:rsidRPr="000F7A40" w:rsidRDefault="008A5C85" w:rsidP="001E20B2">
      <w:r w:rsidRPr="000F7A40">
        <w:t>Знакът ПЕР може да се присъди на всички територии на ЕС под равнището на държавите членки, които разполагат с правомощия на политическо равнище и са способни да изпълнят една цялостна предприемаческа стратегия, независимо от тяхната големина, богатство или специфични правомощия. Няма значение дали територията има законодателни правомощия или не. Бюджетът, специфичните структурни или териториални предизвикателства и икономическата отправна точка на всички кандидати ще бъдат взети предвид от журито за наградата ПЕР. Знакът остава отворен както за териториите, които вече се справят успешно, така и за онези, които – макар и понастоящем да изостават – се ангажират с осъществяването на необходимите промени за развитие на предприемаческия си потенциал.</w:t>
      </w:r>
    </w:p>
    <w:p w14:paraId="1B80E5D8" w14:textId="77777777" w:rsidR="008A5C85" w:rsidRPr="000F7A40" w:rsidRDefault="008A5C85" w:rsidP="001E20B2"/>
    <w:p w14:paraId="3AFE487D" w14:textId="680B2BF1" w:rsidR="008A5C85" w:rsidRPr="000F7A40" w:rsidRDefault="008A5C85" w:rsidP="001E20B2">
      <w:r w:rsidRPr="000F7A40">
        <w:t xml:space="preserve">Регионите се определят като понятие в най-широк смисъл, в което се включват области, автономни области, департаменти, федерални провинции, </w:t>
      </w:r>
      <w:proofErr w:type="spellStart"/>
      <w:r w:rsidRPr="000F7A40">
        <w:t>провинции</w:t>
      </w:r>
      <w:proofErr w:type="spellEnd"/>
      <w:r w:rsidRPr="000F7A40">
        <w:t xml:space="preserve">, графства, </w:t>
      </w:r>
      <w:proofErr w:type="spellStart"/>
      <w:r w:rsidRPr="000F7A40">
        <w:t>метрополни</w:t>
      </w:r>
      <w:proofErr w:type="spellEnd"/>
      <w:r w:rsidRPr="000F7A40">
        <w:t xml:space="preserve"> зони, големи градове, както и трансгранични територии, които имат юридическа правосубектност, като например ЕГТС и еврорегионите. За да могат да бъдат избрани, кандидатите трябва да разполагат с необходимите политически правомощия да прилагат цялостна политическа стратегия, насочена към интегриране на някои или всички принципи на SBA. Специално се поощряват кандидатури на градове и трансгранични региони.</w:t>
      </w:r>
    </w:p>
    <w:p w14:paraId="482FC604" w14:textId="77777777" w:rsidR="00CD2877" w:rsidRPr="000F7A40" w:rsidRDefault="00CD2877" w:rsidP="001E20B2"/>
    <w:p w14:paraId="6BCC62CA" w14:textId="77777777" w:rsidR="00D07992" w:rsidRPr="000F7A40" w:rsidRDefault="00D56B68" w:rsidP="001E20B2">
      <w:pPr>
        <w:keepNext/>
      </w:pPr>
      <w:r w:rsidRPr="000F7A40">
        <w:rPr>
          <w:b/>
        </w:rPr>
        <w:t>График</w:t>
      </w:r>
    </w:p>
    <w:p w14:paraId="1AF6C956" w14:textId="77777777" w:rsidR="006F74DC" w:rsidRPr="000F7A40" w:rsidRDefault="006F74DC" w:rsidP="001E20B2">
      <w:pPr>
        <w:keepNext/>
      </w:pPr>
    </w:p>
    <w:tbl>
      <w:tblPr>
        <w:tblW w:w="8884" w:type="dxa"/>
        <w:tblLook w:val="04A0" w:firstRow="1" w:lastRow="0" w:firstColumn="1" w:lastColumn="0" w:noHBand="0" w:noVBand="1"/>
      </w:tblPr>
      <w:tblGrid>
        <w:gridCol w:w="2376"/>
        <w:gridCol w:w="6508"/>
      </w:tblGrid>
      <w:tr w:rsidR="00924A7A" w14:paraId="38C5BD4F" w14:textId="77777777">
        <w:tc>
          <w:tcPr>
            <w:tcW w:w="2376" w:type="dxa"/>
          </w:tcPr>
          <w:p w14:paraId="08969594" w14:textId="2492C231" w:rsidR="00C12E76" w:rsidRPr="006D40BA" w:rsidRDefault="00FD332F" w:rsidP="00A545FA">
            <w:pPr>
              <w:numPr>
                <w:ilvl w:val="0"/>
                <w:numId w:val="11"/>
              </w:numPr>
              <w:tabs>
                <w:tab w:val="clear" w:pos="0"/>
              </w:tabs>
            </w:pPr>
            <w:r w:rsidRPr="000F7A40">
              <w:t>19 ноември 2018 г.:</w:t>
            </w:r>
          </w:p>
        </w:tc>
        <w:tc>
          <w:tcPr>
            <w:tcW w:w="6508" w:type="dxa"/>
            <w:shd w:val="clear" w:color="auto" w:fill="auto"/>
          </w:tcPr>
          <w:p w14:paraId="13F4FE20" w14:textId="5810A82A" w:rsidR="00C12E76" w:rsidRPr="006D40BA" w:rsidRDefault="00C12E76" w:rsidP="00FD332F">
            <w:r w:rsidRPr="000F7A40">
              <w:t>Начало на подаване на кандидатурите за ПЕР 2020 г.</w:t>
            </w:r>
          </w:p>
        </w:tc>
      </w:tr>
      <w:tr w:rsidR="00924A7A" w14:paraId="4973D005" w14:textId="77777777">
        <w:tc>
          <w:tcPr>
            <w:tcW w:w="2376" w:type="dxa"/>
          </w:tcPr>
          <w:p w14:paraId="14FC5592" w14:textId="5FEC183E" w:rsidR="00C12E76" w:rsidRPr="006D40BA" w:rsidRDefault="00FD332F" w:rsidP="00FD332F">
            <w:pPr>
              <w:numPr>
                <w:ilvl w:val="0"/>
                <w:numId w:val="11"/>
              </w:numPr>
              <w:tabs>
                <w:tab w:val="clear" w:pos="0"/>
              </w:tabs>
            </w:pPr>
            <w:r w:rsidRPr="000F7A40">
              <w:t>27 март 2019 г.:</w:t>
            </w:r>
          </w:p>
        </w:tc>
        <w:tc>
          <w:tcPr>
            <w:tcW w:w="6508" w:type="dxa"/>
            <w:shd w:val="clear" w:color="auto" w:fill="auto"/>
          </w:tcPr>
          <w:p w14:paraId="2F6B7BA9" w14:textId="77777777" w:rsidR="00C12E76" w:rsidRPr="006D40BA" w:rsidRDefault="00C12E76" w:rsidP="001E20B2">
            <w:r w:rsidRPr="000F7A40">
              <w:t>Краен срок за подаване на кандидатурите</w:t>
            </w:r>
          </w:p>
        </w:tc>
      </w:tr>
      <w:tr w:rsidR="00924A7A" w:rsidRPr="000F7A40" w14:paraId="055C57BA" w14:textId="77777777">
        <w:tc>
          <w:tcPr>
            <w:tcW w:w="2376" w:type="dxa"/>
          </w:tcPr>
          <w:p w14:paraId="7B00308C" w14:textId="05E264D1" w:rsidR="00C12E76" w:rsidRPr="006D40BA" w:rsidRDefault="00FD332F" w:rsidP="00A545FA">
            <w:pPr>
              <w:numPr>
                <w:ilvl w:val="0"/>
                <w:numId w:val="11"/>
              </w:numPr>
              <w:tabs>
                <w:tab w:val="clear" w:pos="0"/>
              </w:tabs>
            </w:pPr>
            <w:r w:rsidRPr="000F7A40">
              <w:t>25-26 юни 2019 г.:</w:t>
            </w:r>
          </w:p>
        </w:tc>
        <w:tc>
          <w:tcPr>
            <w:tcW w:w="6508" w:type="dxa"/>
            <w:shd w:val="clear" w:color="auto" w:fill="auto"/>
          </w:tcPr>
          <w:p w14:paraId="515357CE" w14:textId="1D888F89" w:rsidR="00C12E76" w:rsidRPr="000F7A40" w:rsidRDefault="00C12E76" w:rsidP="00FD332F">
            <w:r w:rsidRPr="000F7A40">
              <w:t>Церемония по връчване на наградите за ПЕР 2020 г.</w:t>
            </w:r>
          </w:p>
        </w:tc>
      </w:tr>
    </w:tbl>
    <w:p w14:paraId="429E1E89" w14:textId="77777777" w:rsidR="006F74DC" w:rsidRPr="000F7A40" w:rsidRDefault="006F74DC" w:rsidP="001E20B2"/>
    <w:p w14:paraId="47064ECD" w14:textId="68605732" w:rsidR="00D56B68" w:rsidRPr="000F7A40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i/>
        </w:rPr>
      </w:pPr>
      <w:r w:rsidRPr="000F7A40">
        <w:rPr>
          <w:i/>
        </w:rPr>
        <w:t>Моля, изпратете своята кандидатура за знака ПЕР за 2020 г. заедно с писмена декларация за политически ангажимент по електронната поща на адрес</w:t>
      </w:r>
      <w:r w:rsidRPr="000F7A40">
        <w:t>:</w:t>
      </w:r>
      <w:hyperlink r:id="rId17">
        <w:r w:rsidRPr="000F7A40">
          <w:rPr>
            <w:rStyle w:val="Hyperlink"/>
            <w:i/>
          </w:rPr>
          <w:t>eer-cdr@cor.europa.eu</w:t>
        </w:r>
      </w:hyperlink>
    </w:p>
    <w:p w14:paraId="5809F0ED" w14:textId="7AD74E37" w:rsidR="00D56B68" w:rsidRPr="000F7A40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</w:rPr>
      </w:pPr>
      <w:r w:rsidRPr="000F7A40">
        <w:rPr>
          <w:b/>
          <w:i/>
        </w:rPr>
        <w:t>Краен срок за внасяне на кандидатурите: 27 март 2019 г., сряда.</w:t>
      </w:r>
    </w:p>
    <w:p w14:paraId="106CA7DD" w14:textId="77777777" w:rsidR="00CD2877" w:rsidRPr="000F7A40" w:rsidRDefault="00CD2877" w:rsidP="001E20B2">
      <w:pPr>
        <w:suppressAutoHyphens/>
      </w:pPr>
    </w:p>
    <w:p w14:paraId="01154C7C" w14:textId="5CA87858" w:rsidR="005118E0" w:rsidRPr="000C25B6" w:rsidRDefault="00442D4F" w:rsidP="002568CE">
      <w:pPr>
        <w:tabs>
          <w:tab w:val="left" w:pos="2127"/>
        </w:tabs>
        <w:suppressAutoHyphens/>
        <w:rPr>
          <w:lang w:val="en-GB"/>
        </w:rPr>
      </w:pPr>
      <w:r w:rsidRPr="000F7A40">
        <w:rPr>
          <w:b/>
        </w:rPr>
        <w:t>За повече информация:</w:t>
      </w:r>
      <w:r w:rsidRPr="000F7A40">
        <w:tab/>
      </w:r>
      <w:hyperlink r:id="rId18" w:history="1">
        <w:r w:rsidR="000C25B6" w:rsidRPr="003656F3">
          <w:rPr>
            <w:rStyle w:val="Hyperlink"/>
          </w:rPr>
          <w:t>https://cor.europa.eu/en/engage/Pages/european-entrepreneurial-region.aspx</w:t>
        </w:r>
      </w:hyperlink>
      <w:r w:rsidR="000C25B6">
        <w:rPr>
          <w:lang w:val="en-GB"/>
        </w:rPr>
        <w:t xml:space="preserve"> </w:t>
      </w:r>
      <w:r w:rsidR="000C25B6">
        <w:rPr>
          <w:lang w:val="en-GB"/>
        </w:rPr>
        <w:tab/>
      </w:r>
      <w:bookmarkStart w:id="0" w:name="_GoBack"/>
      <w:bookmarkEnd w:id="0"/>
      <w:r w:rsidR="000C25B6">
        <w:fldChar w:fldCharType="begin"/>
      </w:r>
      <w:r w:rsidR="000C25B6">
        <w:instrText xml:space="preserve"> HYPERLINK "mailto:eer-cdr@cor.europa.eu" \h </w:instrText>
      </w:r>
      <w:r w:rsidR="000C25B6">
        <w:fldChar w:fldCharType="separate"/>
      </w:r>
      <w:r w:rsidR="00436A73" w:rsidRPr="000F7A40">
        <w:rPr>
          <w:rStyle w:val="Hyperlink"/>
        </w:rPr>
        <w:t>eer-cdr@cor.europa.eu</w:t>
      </w:r>
      <w:r w:rsidR="000C25B6">
        <w:rPr>
          <w:rStyle w:val="Hyperlink"/>
        </w:rPr>
        <w:fldChar w:fldCharType="end"/>
      </w:r>
    </w:p>
    <w:p w14:paraId="2923E772" w14:textId="77777777" w:rsidR="00F31B2A" w:rsidRPr="000F7A40" w:rsidRDefault="00F31B2A" w:rsidP="00F31B2A">
      <w:pPr>
        <w:jc w:val="center"/>
      </w:pPr>
      <w:r w:rsidRPr="000F7A40">
        <w:t>_____________</w:t>
      </w:r>
    </w:p>
    <w:sectPr w:rsidR="00F31B2A" w:rsidRPr="000F7A40" w:rsidSect="000F7A4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FE9B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endnote>
  <w:endnote w:type="continuationSeparator" w:id="0">
    <w:p w14:paraId="06BED94A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endnote>
  <w:endnote w:type="continuationNotice" w:id="1">
    <w:p w14:paraId="114FFA8C" w14:textId="77777777" w:rsidR="0008099C" w:rsidRDefault="000809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21AF5" w14:textId="77777777" w:rsidR="000F7A40" w:rsidRPr="000F7A40" w:rsidRDefault="000F7A40" w:rsidP="000F7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440C" w14:textId="6340A136" w:rsidR="00844AA3" w:rsidRPr="000F7A40" w:rsidRDefault="000F7A40" w:rsidP="000F7A40">
    <w:pPr>
      <w:pStyle w:val="Footer"/>
    </w:pPr>
    <w:r>
      <w:t xml:space="preserve">COR-2017-05407-00-01-ADMIN-TRA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C25B6">
      <w:rPr>
        <w:noProof/>
      </w:rPr>
      <w:t>4</w:t>
    </w:r>
    <w:r>
      <w:fldChar w:fldCharType="end"/>
    </w:r>
    <w:r>
      <w:t>/</w:t>
    </w:r>
    <w:r>
      <w:fldChar w:fldCharType="begin"/>
    </w:r>
    <w:r>
      <w:instrText xml:space="preserve"> = </w:instrText>
    </w:r>
    <w:r w:rsidR="00E91EC5">
      <w:rPr>
        <w:noProof/>
      </w:rPr>
      <w:fldChar w:fldCharType="begin"/>
    </w:r>
    <w:r w:rsidR="00E91EC5">
      <w:rPr>
        <w:noProof/>
      </w:rPr>
      <w:instrText xml:space="preserve"> NUMPAGES </w:instrText>
    </w:r>
    <w:r w:rsidR="00E91EC5">
      <w:rPr>
        <w:noProof/>
      </w:rPr>
      <w:fldChar w:fldCharType="separate"/>
    </w:r>
    <w:r w:rsidR="000C25B6">
      <w:rPr>
        <w:noProof/>
      </w:rPr>
      <w:instrText>4</w:instrText>
    </w:r>
    <w:r w:rsidR="00E91EC5">
      <w:rPr>
        <w:noProof/>
      </w:rPr>
      <w:fldChar w:fldCharType="end"/>
    </w:r>
    <w:r>
      <w:instrText xml:space="preserve"> -0 </w:instrText>
    </w:r>
    <w:r>
      <w:fldChar w:fldCharType="separate"/>
    </w:r>
    <w:r w:rsidR="000C25B6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2D00C" w14:textId="77777777" w:rsidR="000F7A40" w:rsidRPr="000F7A40" w:rsidRDefault="000F7A40" w:rsidP="000F7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5392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footnote>
  <w:footnote w:type="continuationSeparator" w:id="0">
    <w:p w14:paraId="06FAAE28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footnote>
  <w:footnote w:type="continuationNotice" w:id="1">
    <w:p w14:paraId="180AB533" w14:textId="77777777" w:rsidR="0008099C" w:rsidRDefault="000809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E28C" w14:textId="77777777" w:rsidR="000F7A40" w:rsidRPr="000F7A40" w:rsidRDefault="000F7A40" w:rsidP="000F7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D94C" w14:textId="77777777" w:rsidR="000F7A40" w:rsidRPr="000F7A40" w:rsidRDefault="000F7A40" w:rsidP="000F7A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E601" w14:textId="77777777" w:rsidR="000F7A40" w:rsidRPr="000F7A40" w:rsidRDefault="000F7A40" w:rsidP="000F7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F29BB"/>
    <w:multiLevelType w:val="hybridMultilevel"/>
    <w:tmpl w:val="2972748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27FED"/>
    <w:multiLevelType w:val="hybridMultilevel"/>
    <w:tmpl w:val="08D664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3316E"/>
    <w:multiLevelType w:val="hybridMultilevel"/>
    <w:tmpl w:val="0BFAF9CA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6C4FBF"/>
    <w:multiLevelType w:val="hybridMultilevel"/>
    <w:tmpl w:val="9F364B66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311F"/>
    <w:multiLevelType w:val="hybridMultilevel"/>
    <w:tmpl w:val="662065C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5B3"/>
    <w:multiLevelType w:val="hybridMultilevel"/>
    <w:tmpl w:val="E2601D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E7A9B"/>
    <w:multiLevelType w:val="hybridMultilevel"/>
    <w:tmpl w:val="D96460F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22E5"/>
    <w:multiLevelType w:val="hybridMultilevel"/>
    <w:tmpl w:val="B07C0C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85BB6"/>
    <w:multiLevelType w:val="hybridMultilevel"/>
    <w:tmpl w:val="4ABEAC6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0DFE"/>
    <w:multiLevelType w:val="hybridMultilevel"/>
    <w:tmpl w:val="DE54F7A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D08"/>
    <w:multiLevelType w:val="hybridMultilevel"/>
    <w:tmpl w:val="F13E83F0"/>
    <w:lvl w:ilvl="0" w:tplc="C22A545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71724"/>
    <w:multiLevelType w:val="hybridMultilevel"/>
    <w:tmpl w:val="D5BE6BA2"/>
    <w:lvl w:ilvl="0" w:tplc="2A34915A">
      <w:start w:val="1"/>
      <w:numFmt w:val="bullet"/>
      <w:lvlText w:val=""/>
      <w:lvlJc w:val="left"/>
      <w:pPr>
        <w:tabs>
          <w:tab w:val="num" w:pos="360"/>
        </w:tabs>
        <w:ind w:left="751" w:hanging="391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E7CB5"/>
    <w:multiLevelType w:val="hybridMultilevel"/>
    <w:tmpl w:val="A2CA9FF0"/>
    <w:lvl w:ilvl="0" w:tplc="CB82E9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B4E98"/>
    <w:multiLevelType w:val="hybridMultilevel"/>
    <w:tmpl w:val="D0B8B90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20079"/>
    <w:multiLevelType w:val="hybridMultilevel"/>
    <w:tmpl w:val="9DAA2AA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732D"/>
    <w:multiLevelType w:val="hybridMultilevel"/>
    <w:tmpl w:val="A6660336"/>
    <w:lvl w:ilvl="0" w:tplc="8CBA21E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C7DA1"/>
    <w:multiLevelType w:val="hybridMultilevel"/>
    <w:tmpl w:val="ACA603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6879"/>
    <w:multiLevelType w:val="hybridMultilevel"/>
    <w:tmpl w:val="702A670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19"/>
  </w:num>
  <w:num w:numId="15">
    <w:abstractNumId w:val="4"/>
  </w:num>
  <w:num w:numId="16">
    <w:abstractNumId w:val="16"/>
  </w:num>
  <w:num w:numId="17">
    <w:abstractNumId w:val="5"/>
  </w:num>
  <w:num w:numId="18">
    <w:abstractNumId w:val="17"/>
  </w:num>
  <w:num w:numId="19">
    <w:abstractNumId w:val="3"/>
  </w:num>
  <w:num w:numId="20">
    <w:abstractNumId w:val="10"/>
  </w:num>
  <w:num w:numId="21">
    <w:abstractNumId w:val="7"/>
  </w:num>
  <w:num w:numId="22">
    <w:abstractNumId w:val="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8"/>
    <w:rsid w:val="00024E06"/>
    <w:rsid w:val="000427E6"/>
    <w:rsid w:val="000439F0"/>
    <w:rsid w:val="00060550"/>
    <w:rsid w:val="00060914"/>
    <w:rsid w:val="0006629B"/>
    <w:rsid w:val="0008099C"/>
    <w:rsid w:val="000B1EFE"/>
    <w:rsid w:val="000B273F"/>
    <w:rsid w:val="000B665C"/>
    <w:rsid w:val="000C25B6"/>
    <w:rsid w:val="000C3DFF"/>
    <w:rsid w:val="000C52F7"/>
    <w:rsid w:val="000D08A9"/>
    <w:rsid w:val="000D2CC8"/>
    <w:rsid w:val="000F7745"/>
    <w:rsid w:val="000F7A40"/>
    <w:rsid w:val="0011559A"/>
    <w:rsid w:val="00142CE2"/>
    <w:rsid w:val="00184B0B"/>
    <w:rsid w:val="00190DF6"/>
    <w:rsid w:val="001A0AA5"/>
    <w:rsid w:val="001A5868"/>
    <w:rsid w:val="001A5AA3"/>
    <w:rsid w:val="001C4FFF"/>
    <w:rsid w:val="001E20B2"/>
    <w:rsid w:val="001F53BC"/>
    <w:rsid w:val="002568CE"/>
    <w:rsid w:val="002713D5"/>
    <w:rsid w:val="002E63BE"/>
    <w:rsid w:val="002F5F63"/>
    <w:rsid w:val="002F6DCF"/>
    <w:rsid w:val="00355D04"/>
    <w:rsid w:val="003867F4"/>
    <w:rsid w:val="0039385F"/>
    <w:rsid w:val="003B4416"/>
    <w:rsid w:val="003C26BF"/>
    <w:rsid w:val="003D401D"/>
    <w:rsid w:val="003D64F8"/>
    <w:rsid w:val="003E27A4"/>
    <w:rsid w:val="003F5D20"/>
    <w:rsid w:val="00403ED7"/>
    <w:rsid w:val="00416846"/>
    <w:rsid w:val="00425CE6"/>
    <w:rsid w:val="00436A73"/>
    <w:rsid w:val="00442D4F"/>
    <w:rsid w:val="0047494B"/>
    <w:rsid w:val="004C4E2A"/>
    <w:rsid w:val="004D1562"/>
    <w:rsid w:val="004E0818"/>
    <w:rsid w:val="004F600D"/>
    <w:rsid w:val="00502AF0"/>
    <w:rsid w:val="005118E0"/>
    <w:rsid w:val="00530F79"/>
    <w:rsid w:val="00532B6F"/>
    <w:rsid w:val="0053333E"/>
    <w:rsid w:val="00550FE9"/>
    <w:rsid w:val="0056035C"/>
    <w:rsid w:val="00562388"/>
    <w:rsid w:val="005664B3"/>
    <w:rsid w:val="005742B1"/>
    <w:rsid w:val="005C02A0"/>
    <w:rsid w:val="005D1117"/>
    <w:rsid w:val="005E3C13"/>
    <w:rsid w:val="005E42A7"/>
    <w:rsid w:val="006005CA"/>
    <w:rsid w:val="00622FC4"/>
    <w:rsid w:val="006600D4"/>
    <w:rsid w:val="00682068"/>
    <w:rsid w:val="00690B0B"/>
    <w:rsid w:val="006A2C9F"/>
    <w:rsid w:val="006A34BE"/>
    <w:rsid w:val="006B6A4F"/>
    <w:rsid w:val="006D40BA"/>
    <w:rsid w:val="006E76CE"/>
    <w:rsid w:val="006F74DC"/>
    <w:rsid w:val="007258E7"/>
    <w:rsid w:val="0072625D"/>
    <w:rsid w:val="00745060"/>
    <w:rsid w:val="00747A35"/>
    <w:rsid w:val="00763754"/>
    <w:rsid w:val="007740F3"/>
    <w:rsid w:val="0079060C"/>
    <w:rsid w:val="00794AFC"/>
    <w:rsid w:val="007B23FB"/>
    <w:rsid w:val="007C434A"/>
    <w:rsid w:val="007E48BA"/>
    <w:rsid w:val="007E7AE0"/>
    <w:rsid w:val="00800266"/>
    <w:rsid w:val="00802A44"/>
    <w:rsid w:val="008314F8"/>
    <w:rsid w:val="00844AA3"/>
    <w:rsid w:val="0086782C"/>
    <w:rsid w:val="008A5C85"/>
    <w:rsid w:val="008B7AB9"/>
    <w:rsid w:val="008C1AAB"/>
    <w:rsid w:val="008D0833"/>
    <w:rsid w:val="008D315C"/>
    <w:rsid w:val="008D5E43"/>
    <w:rsid w:val="008E57E2"/>
    <w:rsid w:val="008F24A7"/>
    <w:rsid w:val="009052D2"/>
    <w:rsid w:val="009164DB"/>
    <w:rsid w:val="00924A7A"/>
    <w:rsid w:val="00926642"/>
    <w:rsid w:val="00933D9B"/>
    <w:rsid w:val="00934423"/>
    <w:rsid w:val="009443CB"/>
    <w:rsid w:val="00955317"/>
    <w:rsid w:val="00973D11"/>
    <w:rsid w:val="00982305"/>
    <w:rsid w:val="009B2992"/>
    <w:rsid w:val="00A03A95"/>
    <w:rsid w:val="00A16357"/>
    <w:rsid w:val="00A16E36"/>
    <w:rsid w:val="00A476C5"/>
    <w:rsid w:val="00A545FA"/>
    <w:rsid w:val="00A57992"/>
    <w:rsid w:val="00A725C0"/>
    <w:rsid w:val="00AD2A80"/>
    <w:rsid w:val="00AE045E"/>
    <w:rsid w:val="00AE069E"/>
    <w:rsid w:val="00AE0855"/>
    <w:rsid w:val="00AE72E1"/>
    <w:rsid w:val="00AF6445"/>
    <w:rsid w:val="00B011DB"/>
    <w:rsid w:val="00B01908"/>
    <w:rsid w:val="00B07411"/>
    <w:rsid w:val="00B07D88"/>
    <w:rsid w:val="00B22BAE"/>
    <w:rsid w:val="00B85798"/>
    <w:rsid w:val="00B9366E"/>
    <w:rsid w:val="00BA7C05"/>
    <w:rsid w:val="00BF7D6F"/>
    <w:rsid w:val="00C12E76"/>
    <w:rsid w:val="00C245F8"/>
    <w:rsid w:val="00C33AD4"/>
    <w:rsid w:val="00C72082"/>
    <w:rsid w:val="00C8582F"/>
    <w:rsid w:val="00C96BEC"/>
    <w:rsid w:val="00CD2877"/>
    <w:rsid w:val="00CF0CB2"/>
    <w:rsid w:val="00D022CA"/>
    <w:rsid w:val="00D07992"/>
    <w:rsid w:val="00D30A3B"/>
    <w:rsid w:val="00D3383D"/>
    <w:rsid w:val="00D42E22"/>
    <w:rsid w:val="00D46A56"/>
    <w:rsid w:val="00D54DAE"/>
    <w:rsid w:val="00D56B68"/>
    <w:rsid w:val="00D73CAF"/>
    <w:rsid w:val="00D822C9"/>
    <w:rsid w:val="00D86C21"/>
    <w:rsid w:val="00D9169E"/>
    <w:rsid w:val="00DC29BB"/>
    <w:rsid w:val="00DC78EB"/>
    <w:rsid w:val="00DD68A7"/>
    <w:rsid w:val="00DF2E74"/>
    <w:rsid w:val="00DF40C0"/>
    <w:rsid w:val="00E04C37"/>
    <w:rsid w:val="00E053C0"/>
    <w:rsid w:val="00E061C5"/>
    <w:rsid w:val="00E17D9D"/>
    <w:rsid w:val="00E31202"/>
    <w:rsid w:val="00E56219"/>
    <w:rsid w:val="00E66101"/>
    <w:rsid w:val="00E77BD2"/>
    <w:rsid w:val="00E91EC5"/>
    <w:rsid w:val="00EA4DF1"/>
    <w:rsid w:val="00EF26AD"/>
    <w:rsid w:val="00EF6742"/>
    <w:rsid w:val="00F23B39"/>
    <w:rsid w:val="00F25276"/>
    <w:rsid w:val="00F274CF"/>
    <w:rsid w:val="00F31B2A"/>
    <w:rsid w:val="00F357DB"/>
    <w:rsid w:val="00F36A30"/>
    <w:rsid w:val="00F458C1"/>
    <w:rsid w:val="00F87C00"/>
    <w:rsid w:val="00FA4420"/>
    <w:rsid w:val="00FD07DA"/>
    <w:rsid w:val="00FD332F"/>
    <w:rsid w:val="00FD3AE5"/>
    <w:rsid w:val="00FD61C5"/>
    <w:rsid w:val="00FE21DE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3F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bg-BG" w:eastAsia="bg-BG" w:bidi="bg-BG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BA"/>
    <w:pPr>
      <w:spacing w:line="288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6D40B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D40B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D40B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D40B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D40B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D40B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D40B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D40B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D40B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FootnoteText">
    <w:name w:val="footnote text"/>
    <w:basedOn w:val="Normal"/>
    <w:qFormat/>
    <w:rsid w:val="006D40B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6D40BA"/>
  </w:style>
  <w:style w:type="paragraph" w:styleId="Footer">
    <w:name w:val="footer"/>
    <w:basedOn w:val="Normal"/>
    <w:qFormat/>
    <w:rsid w:val="006D40BA"/>
  </w:style>
  <w:style w:type="paragraph" w:customStyle="1" w:styleId="quotes">
    <w:name w:val="quotes"/>
    <w:basedOn w:val="Normal"/>
    <w:next w:val="Normal"/>
    <w:rsid w:val="006D40B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D40BA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D40BA"/>
    <w:pPr>
      <w:ind w:left="720"/>
      <w:contextualSpacing/>
    </w:pPr>
  </w:style>
  <w:style w:type="paragraph" w:styleId="Revision">
    <w:name w:val="Revision"/>
    <w:hidden/>
    <w:uiPriority w:val="99"/>
    <w:semiHidden/>
    <w:rsid w:val="0056035C"/>
    <w:rPr>
      <w:rFonts w:eastAsia="Times New Roman"/>
      <w:sz w:val="22"/>
    </w:rPr>
  </w:style>
  <w:style w:type="table" w:styleId="TableGrid">
    <w:name w:val="Table Grid"/>
    <w:basedOn w:val="TableNormal"/>
    <w:rsid w:val="006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74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E7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2E1"/>
    <w:rPr>
      <w:rFonts w:ascii="Tahoma" w:eastAsia="Times New Roman" w:hAnsi="Tahoma" w:cs="Tahoma"/>
      <w:sz w:val="16"/>
      <w:szCs w:val="16"/>
      <w:lang w:val="bg-BG" w:eastAsia="bg-BG"/>
    </w:rPr>
  </w:style>
  <w:style w:type="character" w:styleId="Emphasis">
    <w:name w:val="Emphasis"/>
    <w:basedOn w:val="DefaultParagraphFont"/>
    <w:uiPriority w:val="20"/>
    <w:qFormat/>
    <w:rsid w:val="00FD332F"/>
    <w:rPr>
      <w:b/>
      <w:bCs/>
      <w:i w:val="0"/>
      <w:iCs w:val="0"/>
    </w:rPr>
  </w:style>
  <w:style w:type="character" w:customStyle="1" w:styleId="st1">
    <w:name w:val="st1"/>
    <w:basedOn w:val="DefaultParagraphFont"/>
    <w:rsid w:val="00FD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bg-BG" w:eastAsia="bg-BG" w:bidi="bg-BG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BA"/>
    <w:pPr>
      <w:spacing w:line="288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6D40B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D40B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D40B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D40B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D40B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D40B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D40B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D40B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D40B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FootnoteText">
    <w:name w:val="footnote text"/>
    <w:basedOn w:val="Normal"/>
    <w:qFormat/>
    <w:rsid w:val="006D40B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6D40BA"/>
  </w:style>
  <w:style w:type="paragraph" w:styleId="Footer">
    <w:name w:val="footer"/>
    <w:basedOn w:val="Normal"/>
    <w:qFormat/>
    <w:rsid w:val="006D40BA"/>
  </w:style>
  <w:style w:type="paragraph" w:customStyle="1" w:styleId="quotes">
    <w:name w:val="quotes"/>
    <w:basedOn w:val="Normal"/>
    <w:next w:val="Normal"/>
    <w:rsid w:val="006D40BA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D40BA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D40BA"/>
    <w:pPr>
      <w:ind w:left="720"/>
      <w:contextualSpacing/>
    </w:pPr>
  </w:style>
  <w:style w:type="paragraph" w:styleId="Revision">
    <w:name w:val="Revision"/>
    <w:hidden/>
    <w:uiPriority w:val="99"/>
    <w:semiHidden/>
    <w:rsid w:val="0056035C"/>
    <w:rPr>
      <w:rFonts w:eastAsia="Times New Roman"/>
      <w:sz w:val="22"/>
    </w:rPr>
  </w:style>
  <w:style w:type="table" w:styleId="TableGrid">
    <w:name w:val="Table Grid"/>
    <w:basedOn w:val="TableNormal"/>
    <w:rsid w:val="006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74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E7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2E1"/>
    <w:rPr>
      <w:rFonts w:ascii="Tahoma" w:eastAsia="Times New Roman" w:hAnsi="Tahoma" w:cs="Tahoma"/>
      <w:sz w:val="16"/>
      <w:szCs w:val="16"/>
      <w:lang w:val="bg-BG" w:eastAsia="bg-BG"/>
    </w:rPr>
  </w:style>
  <w:style w:type="character" w:styleId="Emphasis">
    <w:name w:val="Emphasis"/>
    <w:basedOn w:val="DefaultParagraphFont"/>
    <w:uiPriority w:val="20"/>
    <w:qFormat/>
    <w:rsid w:val="00FD332F"/>
    <w:rPr>
      <w:b/>
      <w:bCs/>
      <w:i w:val="0"/>
      <w:iCs w:val="0"/>
    </w:rPr>
  </w:style>
  <w:style w:type="character" w:customStyle="1" w:styleId="st1">
    <w:name w:val="st1"/>
    <w:basedOn w:val="DefaultParagraphFont"/>
    <w:rsid w:val="00FD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cor.europa.eu/en/engage/Pages/european-entrepreneurial-region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eer-cdr@cor.europa.e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r.europa.eu/en/engage/Pages/european-entrepreneurial-region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CORWEB-1175505639-333</_dlc_DocId>
    <_dlc_DocIdUrl xmlns="61ca3f1a-19f4-461d-a43b-0b5ad97b08be">
      <Url>https://prod-portal.cor.europa.eu/en/engage/_layouts/15/DocIdRedir.aspx?ID=CORWEB-1175505639-333</Url>
      <Description>CORWEB-1175505639-333</Description>
    </_dlc_DocIdUrl>
    <TaxCatchAll xmlns="61ca3f1a-19f4-461d-a43b-0b5ad97b08be">
      <Value>30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Bulgarian</TermName>
          <TermId xmlns="http://schemas.microsoft.com/office/infopath/2007/PartnerControls">59635df3-1f8c-4430-b37e-095ee0ef2491</TermId>
        </TermInfo>
      </Terms>
    </p2fcf63a50b541b9841bb70f49df331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0604CEAC7118214B861BD5C8C8E15446" ma:contentTypeVersion="4" ma:contentTypeDescription="Create a new document." ma:contentTypeScope="" ma:versionID="e22738654091930a763a5383c37a852b">
  <xsd:schema xmlns:xsd="http://www.w3.org/2001/XMLSchema" xmlns:xs="http://www.w3.org/2001/XMLSchema" xmlns:p="http://schemas.microsoft.com/office/2006/metadata/properties" xmlns:ns2="61ca3f1a-19f4-461d-a43b-0b5ad97b08be" targetNamespace="http://schemas.microsoft.com/office/2006/metadata/properties" ma:root="true" ma:fieldsID="a3f924730a0d153f3c9d2212cc8bae41" ns2:_=""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WorkflowChangePath"><![CDATA[d8b05a6b-1ae1-49f8-8d0e-2f11ea0029ec,2;d8b05a6b-1ae1-49f8-8d0e-2f11ea0029ec,2;d8b05a6b-1ae1-49f8-8d0e-2f11ea0029ec,2;d8b05a6b-1ae1-49f8-8d0e-2f11ea0029ec,2;d8b05a6b-1ae1-49f8-8d0e-2f11ea0029ec,2;d8b05a6b-1ae1-49f8-8d0e-2f11ea0029ec,2;d8b05a6b-1ae1-49f8-8d0e-2f11ea0029ec,2;d8b05a6b-1ae1-49f8-8d0e-2f11ea0029ec,2;]]></LongProp>
</LongProperties>
</file>

<file path=customXml/itemProps1.xml><?xml version="1.0" encoding="utf-8"?>
<ds:datastoreItem xmlns:ds="http://schemas.openxmlformats.org/officeDocument/2006/customXml" ds:itemID="{3A22B784-BAAB-4EEB-BB78-61743C6EA20A}"/>
</file>

<file path=customXml/itemProps2.xml><?xml version="1.0" encoding="utf-8"?>
<ds:datastoreItem xmlns:ds="http://schemas.openxmlformats.org/officeDocument/2006/customXml" ds:itemID="{D058F343-D9D2-4684-858B-463708FA9EAD}"/>
</file>

<file path=customXml/itemProps3.xml><?xml version="1.0" encoding="utf-8"?>
<ds:datastoreItem xmlns:ds="http://schemas.openxmlformats.org/officeDocument/2006/customXml" ds:itemID="{3F6C4BBE-0B10-43E1-9712-7ECF0C2DEDF4}"/>
</file>

<file path=customXml/itemProps4.xml><?xml version="1.0" encoding="utf-8"?>
<ds:datastoreItem xmlns:ds="http://schemas.openxmlformats.org/officeDocument/2006/customXml" ds:itemID="{86F1F3A4-82D0-4A10-AA37-9F544122EBE9}"/>
</file>

<file path=customXml/itemProps5.xml><?xml version="1.0" encoding="utf-8"?>
<ds:datastoreItem xmlns:ds="http://schemas.openxmlformats.org/officeDocument/2006/customXml" ds:itemID="{53549399-B142-4CB2-B3A4-98432F4C6ED0}"/>
</file>

<file path=customXml/itemProps6.xml><?xml version="1.0" encoding="utf-8"?>
<ds:datastoreItem xmlns:ds="http://schemas.openxmlformats.org/officeDocument/2006/customXml" ds:itemID="{219E3A65-4FB5-42A0-A796-BB9F47E85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Критерии за оценка Кандидатурите ще бъдат оценявани по следните критерии: Политическа визия и ангажираност Кандидатурите</vt:lpstr>
    </vt:vector>
  </TitlesOfParts>
  <Company>CESE-CdR</Company>
  <LinksUpToDate>false</LinksUpToDate>
  <CharactersWithSpaces>9697</CharactersWithSpaces>
  <SharedDoc>false</SharedDoc>
  <HLinks>
    <vt:vector size="24" baseType="variant">
      <vt:variant>
        <vt:i4>4784249</vt:i4>
      </vt:variant>
      <vt:variant>
        <vt:i4>9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http://www.cor.europa.eu/eer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http://cor.europa.eu/eer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за оценка Кандидатурите ще бъдат оценявани по следните критерии: Политическа визия и ангажираност Кандидатурите</dc:title>
  <dc:creator>Marc Kiwitt</dc:creator>
  <cp:keywords>COR-2017-05407-00-01-ADMIN-TRA-EN</cp:keywords>
  <dc:description>Rapporteur:  - Original language: EN - Date of document: 12/11/2018 - Date of meeting:  - External documents:  - Administrator: M. Zajaczkowski Piotr Pawel</dc:description>
  <cp:lastModifiedBy>Piotr Pawel Zajaczkowski</cp:lastModifiedBy>
  <cp:revision>4</cp:revision>
  <cp:lastPrinted>2014-09-17T09:44:00Z</cp:lastPrinted>
  <dcterms:created xsi:type="dcterms:W3CDTF">2018-11-08T11:14:00Z</dcterms:created>
  <dcterms:modified xsi:type="dcterms:W3CDTF">2018-11-13T08:48:00Z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07/11/2018, 07/11/2018, 15/11/2017, 15/11/2017, 26/10/2015, 26/10/2015</vt:lpwstr>
  </property>
  <property fmtid="{D5CDD505-2E9C-101B-9397-08002B2CF9AE}" pid="5" name="Pref_Time">
    <vt:lpwstr>13:50:45, 12:34:37, 11:08:51, 11:02:49, 14:39:37, 14:09:21</vt:lpwstr>
  </property>
  <property fmtid="{D5CDD505-2E9C-101B-9397-08002B2CF9AE}" pid="6" name="Pref_User">
    <vt:lpwstr>enied, ssex, enied, YMUR, amett, ssex</vt:lpwstr>
  </property>
  <property fmtid="{D5CDD505-2E9C-101B-9397-08002B2CF9AE}" pid="7" name="Pref_FileName">
    <vt:lpwstr>COR-2017-05407-00-01-ADMIN-TRA-EN-CRR.docx, COR-2017-05407-00-01-ADMIN-CRR-EN.docx, COR-2017-05407-00-00-ADMIN-TRA-EN-CRR.docx, COR-2017-05407-00-00-ADMIN-CRR-EN.docx, COR-2015-05539-00-00-ADMIN-TRA-EN-CRR.docx, COR-2015-05539-00-00-ADMIN-CRR-EN.docx</vt:lpwstr>
  </property>
  <property fmtid="{D5CDD505-2E9C-101B-9397-08002B2CF9AE}" pid="8" name="ContentTypeId">
    <vt:lpwstr>0x0101000E48EF7EAB68C94FAFBCC7BAE1C760BE000604CEAC7118214B861BD5C8C8E15446</vt:lpwstr>
  </property>
  <property fmtid="{D5CDD505-2E9C-101B-9397-08002B2CF9AE}" pid="9" name="_dlc_DocIdItemGuid">
    <vt:lpwstr>33f71721-194b-47a4-9507-18cf023d4c12</vt:lpwstr>
  </property>
  <property fmtid="{D5CDD505-2E9C-101B-9397-08002B2CF9AE}" pid="10" name="DocumentType_0">
    <vt:lpwstr>ADMIN|58d8ac89-e690-41f6-a5e8-508fa4a7c73c</vt:lpwstr>
  </property>
  <property fmtid="{D5CDD505-2E9C-101B-9397-08002B2CF9AE}" pid="11" name="AvailableTranslations">
    <vt:lpwstr>26;#CS|72f9705b-0217-4fd3-bea2-cbc7ed80e26e;#25;#LV|46f7e311-5d9f-4663-b433-18aeccb7ace7;#37;#SK|46d9fce0-ef79-4f71-b89b-cd6aa82426b8;#28;#LT|a7ff5ce7-6123-4f68-865a-a57c31810414;#18;#PL|1e03da61-4678-4e07-b136-b5024ca9197b;#7;#IT|0774613c-01ed-4e5d-a25d-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2017</vt:i4>
  </property>
  <property fmtid="{D5CDD505-2E9C-101B-9397-08002B2CF9AE}" pid="15" name="DocumentNumber">
    <vt:i4>5407</vt:i4>
  </property>
  <property fmtid="{D5CDD505-2E9C-101B-9397-08002B2CF9AE}" pid="16" name="DocumentVersion">
    <vt:i4>1</vt:i4>
  </property>
  <property fmtid="{D5CDD505-2E9C-101B-9397-08002B2CF9AE}" pid="17" name="DocumentSource">
    <vt:lpwstr>1;#CoR|cb2d75ef-4a7d-4393-b797-49ed6298a5ea</vt:lpwstr>
  </property>
  <property fmtid="{D5CDD505-2E9C-101B-9397-08002B2CF9AE}" pid="18" name="DocumentType">
    <vt:lpwstr>50;#ADMIN|58d8ac89-e690-41f6-a5e8-508fa4a7c73c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Commission ECON</vt:lpwstr>
  </property>
  <property fmtid="{D5CDD505-2E9C-101B-9397-08002B2CF9AE}" pid="23" name="Confidentiality">
    <vt:lpwstr>10;#Unrestricted|826e22d7-d029-4ec0-a450-0c28ff673572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OriginalLanguage">
    <vt:lpwstr>12;#EN|f2175f21-25d7-44a3-96da-d6a61b075e1b</vt:lpwstr>
  </property>
  <property fmtid="{D5CDD505-2E9C-101B-9397-08002B2CF9AE}" pid="27" name="MeetingName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15;#SV|c2ed69e7-a339-43d7-8f22-d93680a92aa0;#37;#SK|46d9fce0-ef79-4f71-b89b-cd6aa82426b8;#12;#EN|f2175f21-25d7-44a3-96da-d6a61b075e1b;#10;#Unrestricted|826e22d7-d029-4ec0-a450-0c28ff673572;#32;#RO|feb747a2-64cd-4299-af12-4833ddc30497;#7;#IT|0774613c-01ed-</vt:lpwstr>
  </property>
  <property fmtid="{D5CDD505-2E9C-101B-9397-08002B2CF9AE}" pid="31" name="AvailableTranslations_0">
    <vt:lpwstr>CS|72f9705b-0217-4fd3-bea2-cbc7ed80e26e;SK|46d9fce0-ef79-4f71-b89b-cd6aa82426b8;IT|0774613c-01ed-4e5d-a25d-11d2388de825;EN|f2175f21-25d7-44a3-96da-d6a61b075e1b;NL|55c6556c-b4f4-441d-9acf-c498d4f838bd;RO|feb747a2-64cd-4299-af12-4833ddc30497;SV|c2ed69e7-a33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13104</vt:i4>
  </property>
  <property fmtid="{D5CDD505-2E9C-101B-9397-08002B2CF9AE}" pid="35" name="DocumentYear">
    <vt:i4>2017</vt:i4>
  </property>
  <property fmtid="{D5CDD505-2E9C-101B-9397-08002B2CF9AE}" pid="36" name="DocumentLanguage">
    <vt:lpwstr>39;#BG|1a1b3951-7821-4e6a-85f5-5673fc08bd2c</vt:lpwstr>
  </property>
  <property fmtid="{D5CDD505-2E9C-101B-9397-08002B2CF9AE}" pid="37" name="CoR_Language">
    <vt:lpwstr>30;#Bulgarian|59635df3-1f8c-4430-b37e-095ee0ef2491</vt:lpwstr>
  </property>
</Properties>
</file>