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5229E8" w:rsidRPr="006D6137" w:rsidTr="00511C65">
        <w:trPr>
          <w:cantSplit/>
        </w:trPr>
        <w:tc>
          <w:tcPr>
            <w:tcW w:w="4644" w:type="dxa"/>
          </w:tcPr>
          <w:p w:rsidR="005229E8" w:rsidRPr="006D6137" w:rsidRDefault="0030103F" w:rsidP="00224405">
            <w:pPr>
              <w:suppressAutoHyphens/>
              <w:overflowPunct/>
              <w:adjustRightInd/>
              <w:spacing w:line="240" w:lineRule="auto"/>
              <w:jc w:val="left"/>
              <w:textAlignment w:val="auto"/>
              <w:rPr>
                <w:rFonts w:eastAsia="Arial Unicode MS"/>
                <w:sz w:val="24"/>
                <w:szCs w:val="22"/>
                <w:bdr w:val="nil"/>
              </w:rPr>
            </w:pPr>
            <w:bookmarkStart w:id="0" w:name="_GoBack"/>
            <w:bookmarkEnd w:id="0"/>
            <w:r w:rsidRPr="006D6137">
              <w:rPr>
                <w:sz w:val="24"/>
              </w:rPr>
              <w:drawing>
                <wp:inline distT="0" distB="0" distL="0" distR="0">
                  <wp:extent cx="1799590" cy="1555750"/>
                  <wp:effectExtent l="0" t="0" r="0" b="6350"/>
                  <wp:docPr id="1" name="Picture 1" title="CoRLogo_P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29E8" w:rsidRPr="006D6137">
              <w:rPr>
                <w:sz w:val="24"/>
                <w:szCs w:val="22"/>
                <w:bdr w:val="ni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141D8C3C" wp14:editId="4C9990A5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1C65" w:rsidRPr="006D6137" w:rsidRDefault="00511C65" w:rsidP="00603DBA">
                                  <w:pPr>
                                    <w:overflowPunct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</w:rPr>
                                  </w:pPr>
                                  <w:r w:rsidRPr="006D6137"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D8C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533pt;margin-top:793.8pt;width:51pt;height:31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      <v:textbox>
                        <w:txbxContent>
                          <w:p w:rsidR="00511C65" w:rsidRPr="006D6137" w:rsidRDefault="00511C65" w:rsidP="00603DBA">
                            <w:pPr>
                              <w:overflowPunct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6D6137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645" w:type="dxa"/>
          </w:tcPr>
          <w:p w:rsidR="005229E8" w:rsidRPr="006D6137" w:rsidRDefault="005229E8" w:rsidP="00224405">
            <w:pPr>
              <w:suppressAutoHyphens/>
              <w:overflowPunct/>
              <w:adjustRightInd/>
              <w:spacing w:line="240" w:lineRule="auto"/>
              <w:jc w:val="left"/>
              <w:textAlignment w:val="auto"/>
              <w:rPr>
                <w:rFonts w:eastAsia="Arial Unicode MS"/>
                <w:sz w:val="24"/>
                <w:szCs w:val="22"/>
                <w:bdr w:val="nil"/>
              </w:rPr>
            </w:pPr>
          </w:p>
        </w:tc>
      </w:tr>
    </w:tbl>
    <w:p w:rsidR="00B52928" w:rsidRPr="006D6137" w:rsidRDefault="00B52928" w:rsidP="00224405">
      <w:pPr>
        <w:widowControl w:val="0"/>
        <w:suppressAutoHyphens/>
        <w:overflowPunct/>
        <w:adjustRightInd/>
        <w:ind w:left="540" w:hanging="540"/>
        <w:jc w:val="left"/>
        <w:textAlignment w:val="auto"/>
        <w:rPr>
          <w:sz w:val="24"/>
        </w:rPr>
      </w:pPr>
    </w:p>
    <w:p w:rsidR="00B52928" w:rsidRPr="006D6137" w:rsidRDefault="00B52928" w:rsidP="00224405">
      <w:pPr>
        <w:widowControl w:val="0"/>
        <w:suppressAutoHyphens/>
        <w:overflowPunct/>
        <w:adjustRightInd/>
        <w:ind w:left="432" w:hanging="432"/>
        <w:jc w:val="left"/>
        <w:textAlignment w:val="auto"/>
        <w:rPr>
          <w:sz w:val="24"/>
        </w:rPr>
      </w:pPr>
    </w:p>
    <w:p w:rsidR="00B52928" w:rsidRPr="006D6137" w:rsidRDefault="00B52928" w:rsidP="00224405">
      <w:pPr>
        <w:widowControl w:val="0"/>
        <w:suppressAutoHyphens/>
        <w:overflowPunct/>
        <w:adjustRightInd/>
        <w:ind w:left="324" w:hanging="324"/>
        <w:jc w:val="left"/>
        <w:textAlignment w:val="auto"/>
        <w:rPr>
          <w:sz w:val="24"/>
        </w:rPr>
      </w:pPr>
    </w:p>
    <w:p w:rsidR="00B52928" w:rsidRPr="006D6137" w:rsidRDefault="00B52928" w:rsidP="00224405">
      <w:pPr>
        <w:widowControl w:val="0"/>
        <w:suppressAutoHyphens/>
        <w:overflowPunct/>
        <w:adjustRightInd/>
        <w:ind w:left="108" w:hanging="108"/>
        <w:jc w:val="left"/>
        <w:textAlignment w:val="auto"/>
        <w:rPr>
          <w:sz w:val="24"/>
        </w:rPr>
      </w:pPr>
    </w:p>
    <w:p w:rsidR="00B52928" w:rsidRPr="006D6137" w:rsidRDefault="00B52928" w:rsidP="00224405">
      <w:pPr>
        <w:widowControl w:val="0"/>
        <w:suppressAutoHyphens/>
        <w:overflowPunct/>
        <w:adjustRightInd/>
        <w:textAlignment w:val="auto"/>
      </w:pPr>
    </w:p>
    <w:p w:rsidR="00B52928" w:rsidRPr="006D6137" w:rsidRDefault="00B52928" w:rsidP="00224405">
      <w:pPr>
        <w:suppressAutoHyphens/>
        <w:overflowPunct/>
        <w:adjustRightInd/>
        <w:textAlignment w:val="auto"/>
      </w:pPr>
    </w:p>
    <w:p w:rsidR="00B52928" w:rsidRPr="006D6137" w:rsidRDefault="00B52928" w:rsidP="00224405">
      <w:pPr>
        <w:suppressAutoHyphens/>
        <w:overflowPunct/>
        <w:adjustRightInd/>
        <w:textAlignment w:val="auto"/>
      </w:pPr>
    </w:p>
    <w:p w:rsidR="00B52928" w:rsidRPr="006D6137" w:rsidRDefault="00B52928" w:rsidP="00224405">
      <w:pPr>
        <w:suppressAutoHyphens/>
        <w:overflowPunct/>
        <w:adjustRightInd/>
        <w:textAlignment w:val="auto"/>
      </w:pPr>
    </w:p>
    <w:p w:rsidR="00B52928" w:rsidRPr="006D6137" w:rsidRDefault="00756865" w:rsidP="00224405">
      <w:pPr>
        <w:suppressAutoHyphens/>
        <w:overflowPunct/>
        <w:adjustRightInd/>
        <w:jc w:val="center"/>
        <w:textAlignment w:val="auto"/>
        <w:rPr>
          <w:b/>
          <w:sz w:val="28"/>
        </w:rPr>
      </w:pPr>
      <w:r w:rsidRPr="006D6137">
        <w:rPr>
          <w:b/>
          <w:sz w:val="28"/>
        </w:rPr>
        <w:t>DECLARAÇÃO</w:t>
      </w:r>
    </w:p>
    <w:p w:rsidR="00B52928" w:rsidRPr="006D6137" w:rsidRDefault="00B52928" w:rsidP="00224405">
      <w:pPr>
        <w:suppressAutoHyphens/>
        <w:overflowPunct/>
        <w:adjustRightInd/>
        <w:textAlignment w:val="auto"/>
        <w:rPr>
          <w:b/>
        </w:rPr>
      </w:pPr>
    </w:p>
    <w:p w:rsidR="00B52928" w:rsidRPr="006D6137" w:rsidRDefault="00025275" w:rsidP="00224405">
      <w:pPr>
        <w:suppressAutoHyphens/>
        <w:overflowPunct/>
        <w:adjustRightInd/>
        <w:jc w:val="center"/>
        <w:textAlignment w:val="auto"/>
        <w:rPr>
          <w:b/>
          <w:sz w:val="32"/>
        </w:rPr>
      </w:pPr>
      <w:r w:rsidRPr="006D6137">
        <w:rPr>
          <w:b/>
          <w:sz w:val="32"/>
        </w:rPr>
        <w:t>Os órgãos de poder local e regional enquanto intervenientes na resposta europeia à crise da COVID-19</w:t>
      </w:r>
    </w:p>
    <w:p w:rsidR="00B52928" w:rsidRPr="006D6137" w:rsidRDefault="00B52928" w:rsidP="00224405">
      <w:pPr>
        <w:suppressAutoHyphens/>
        <w:overflowPunct/>
        <w:adjustRightInd/>
        <w:jc w:val="left"/>
        <w:textAlignment w:val="auto"/>
      </w:pPr>
    </w:p>
    <w:p w:rsidR="00B52928" w:rsidRPr="006D6137" w:rsidRDefault="00B52928" w:rsidP="00224405">
      <w:pPr>
        <w:shd w:val="clear" w:color="auto" w:fill="FFFFFF"/>
        <w:suppressAutoHyphens/>
        <w:overflowPunct/>
        <w:adjustRightInd/>
        <w:jc w:val="left"/>
        <w:textAlignment w:val="auto"/>
        <w:rPr>
          <w:sz w:val="24"/>
        </w:rPr>
      </w:pPr>
    </w:p>
    <w:p w:rsidR="00B52928" w:rsidRPr="006D6137" w:rsidRDefault="00025275" w:rsidP="00224405">
      <w:pPr>
        <w:shd w:val="clear" w:color="auto" w:fill="FFFFFF"/>
        <w:suppressAutoHyphens/>
        <w:overflowPunct/>
        <w:adjustRightInd/>
        <w:jc w:val="left"/>
        <w:textAlignment w:val="auto"/>
        <w:rPr>
          <w:b/>
          <w:sz w:val="24"/>
          <w:szCs w:val="24"/>
        </w:rPr>
      </w:pPr>
      <w:r w:rsidRPr="006D6137">
        <w:rPr>
          <w:b/>
          <w:sz w:val="24"/>
          <w:szCs w:val="24"/>
        </w:rPr>
        <w:t>Apresentada pelos Grupos do PPE, do PSE, Renew Europe, da AE e dos Verdes</w:t>
      </w:r>
    </w:p>
    <w:p w:rsidR="00B52928" w:rsidRPr="006D6137" w:rsidRDefault="00B52928" w:rsidP="00224405">
      <w:pPr>
        <w:shd w:val="clear" w:color="auto" w:fill="FFFFFF"/>
        <w:suppressAutoHyphens/>
        <w:overflowPunct/>
        <w:adjustRightInd/>
        <w:jc w:val="left"/>
        <w:textAlignment w:val="auto"/>
        <w:rPr>
          <w:sz w:val="24"/>
        </w:rPr>
      </w:pPr>
    </w:p>
    <w:p w:rsidR="00B84C66" w:rsidRPr="006D6137" w:rsidRDefault="00B84C66" w:rsidP="00224405">
      <w:pPr>
        <w:widowControl w:val="0"/>
        <w:shd w:val="clear" w:color="auto" w:fill="FFFFFF"/>
        <w:suppressAutoHyphens/>
        <w:overflowPunct/>
        <w:adjustRightInd/>
        <w:ind w:left="108" w:hanging="108"/>
        <w:jc w:val="left"/>
        <w:textAlignment w:val="auto"/>
        <w:rPr>
          <w:sz w:val="24"/>
        </w:rPr>
      </w:pPr>
      <w:r w:rsidRPr="006D6137">
        <w:br w:type="page"/>
      </w:r>
    </w:p>
    <w:p w:rsidR="00B52928" w:rsidRPr="006D6137" w:rsidRDefault="00B52928" w:rsidP="00224405">
      <w:pPr>
        <w:suppressAutoHyphens/>
        <w:overflowPunct/>
        <w:adjustRightInd/>
        <w:jc w:val="left"/>
        <w:textAlignment w:val="auto"/>
        <w:rPr>
          <w:sz w:val="24"/>
        </w:rPr>
      </w:pPr>
    </w:p>
    <w:p w:rsidR="00B52928" w:rsidRPr="006D6137" w:rsidRDefault="00B223BE" w:rsidP="00224405">
      <w:pPr>
        <w:keepNext/>
        <w:keepLines/>
        <w:suppressAutoHyphens/>
        <w:overflowPunct/>
        <w:adjustRightInd/>
        <w:jc w:val="center"/>
        <w:textAlignment w:val="auto"/>
        <w:rPr>
          <w:b/>
        </w:rPr>
      </w:pPr>
      <w:r w:rsidRPr="006D6137">
        <w:rPr>
          <w:b/>
        </w:rPr>
        <w:t>Declaração do Comité das Regiões Europeu – Os órgãos de poder local e regional enquanto intervenientes na resposta europeia à crise da COVID-19</w:t>
      </w:r>
    </w:p>
    <w:p w:rsidR="00B52928" w:rsidRPr="006D6137" w:rsidRDefault="00B52928" w:rsidP="00224405">
      <w:pPr>
        <w:keepNext/>
        <w:keepLines/>
        <w:suppressAutoHyphens/>
        <w:overflowPunct/>
        <w:adjustRightInd/>
        <w:textAlignment w:val="auto"/>
      </w:pPr>
    </w:p>
    <w:p w:rsidR="00B52928" w:rsidRPr="006D6137" w:rsidRDefault="00025275" w:rsidP="00224405">
      <w:pPr>
        <w:keepNext/>
        <w:keepLines/>
        <w:suppressAutoHyphens/>
        <w:overflowPunct/>
        <w:adjustRightInd/>
        <w:textAlignment w:val="auto"/>
      </w:pPr>
      <w:r w:rsidRPr="006D6137">
        <w:t>O COMITÉ DAS REGIÕES EUROPEU</w:t>
      </w:r>
    </w:p>
    <w:p w:rsidR="00B52928" w:rsidRPr="006D6137" w:rsidRDefault="00B52928" w:rsidP="00224405">
      <w:pPr>
        <w:keepNext/>
        <w:keepLines/>
        <w:suppressAutoHyphens/>
        <w:overflowPunct/>
        <w:adjustRightInd/>
        <w:textAlignment w:val="auto"/>
      </w:pPr>
    </w:p>
    <w:p w:rsidR="00B52928" w:rsidRPr="006D6137" w:rsidRDefault="00025275" w:rsidP="00224405">
      <w:pPr>
        <w:keepNext/>
        <w:keepLines/>
        <w:suppressAutoHyphens/>
        <w:overflowPunct/>
        <w:adjustRightInd/>
        <w:textAlignment w:val="auto"/>
        <w:rPr>
          <w:i/>
        </w:rPr>
      </w:pPr>
      <w:r w:rsidRPr="006D6137">
        <w:rPr>
          <w:i/>
        </w:rPr>
        <w:t>Introdução geral</w:t>
      </w:r>
    </w:p>
    <w:p w:rsidR="00B52928" w:rsidRPr="006D6137" w:rsidRDefault="00B52928" w:rsidP="00224405">
      <w:pPr>
        <w:keepNext/>
        <w:keepLines/>
        <w:suppressAutoHyphens/>
        <w:overflowPunct/>
        <w:adjustRightInd/>
        <w:ind w:left="567" w:hanging="567"/>
        <w:textAlignment w:val="auto"/>
      </w:pPr>
    </w:p>
    <w:p w:rsidR="00CF55D2" w:rsidRPr="006D6137" w:rsidRDefault="00CF55D2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manifesta-se profundamente solidário com os cidadãos europeus afetados pessoalmente pela COVID-19 e exprime o seu mais sincero pesar pelos milhares de vidas humanas perdidas na Europa e em todo o mundo devido à pandemia; </w:t>
      </w:r>
    </w:p>
    <w:p w:rsidR="00CF55D2" w:rsidRPr="006D6137" w:rsidRDefault="00CF55D2" w:rsidP="00CF55D2">
      <w:pPr>
        <w:pStyle w:val="ListParagraph"/>
        <w:suppressAutoHyphens/>
        <w:overflowPunct/>
        <w:adjustRightInd/>
        <w:ind w:left="567"/>
        <w:textAlignment w:val="auto"/>
        <w:outlineLvl w:val="0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louva o extraordinário sentido de responsabilidade cívica e de solidariedade dos cidadãos europeus durante a pandemia de COVID-19, que estão a enfrentar a crise sanitária, económica, social e societal mais dramática de há gerações e atuam com o maior empenho e paciência, seguindo as medidas aplicadas pelas autoridades, ajudando-se mutuamente e salvaguardando as suas comunidades locais. Cumpre prestar homenagem especial aos profissionais do setor da saúde e prestação de cuidados, dos cuidados a idosos, das forças policiais, bem como dos transportes, do ensino, do comércio retalhista e dos demais serviços essenciais;</w:t>
      </w:r>
    </w:p>
    <w:p w:rsidR="00B52928" w:rsidRPr="006D6137" w:rsidRDefault="00B52928" w:rsidP="00224405">
      <w:pPr>
        <w:suppressAutoHyphens/>
        <w:overflowPunct/>
        <w:adjustRightInd/>
        <w:ind w:left="567" w:hanging="567"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louva os presidentes de município e de regiões e os membros das assembleias regionais e locais, que se encontram envolvidos desde o primeiro momento na luta contra a pandemia. É através deles que os cidadãos manifestam as suas preocupações e expectativas de que o máximo nível de proteção e de solidariedade seja assegurado e que sejam tomadas medidas eficazes em todos os níveis de governo, a fim de estarem mais bem preparados para lidar com as situações de emergência transfronteiras, em coordenação com as autoridades nacionais e a UE; </w:t>
      </w:r>
    </w:p>
    <w:p w:rsidR="00212A43" w:rsidRPr="006D6137" w:rsidRDefault="00212A43" w:rsidP="00224405">
      <w:pPr>
        <w:suppressAutoHyphens/>
        <w:overflowPunct/>
        <w:adjustRightInd/>
        <w:ind w:left="567" w:hanging="567"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manifesta a sua convicção de que, embora cada crise tenha</w:t>
      </w:r>
      <w:r w:rsidR="008645CB" w:rsidRPr="006D6137">
        <w:t xml:space="preserve"> impulsionado a UE e os Estados</w:t>
      </w:r>
      <w:r w:rsidR="008645CB" w:rsidRPr="006D6137">
        <w:noBreakHyphen/>
      </w:r>
      <w:r w:rsidRPr="006D6137">
        <w:t>Membros gradualmente no sentido de uma cooperação e integração mais eficientes, cada crise é um teste de solidariedade para a UE e os Estados-Membros. Enquanto representantes dos órgãos de poder local e regional, acreditamos firmemente na necessidade de uma resposta europeia coordenada e solidária, em vez de se depender apenas das respostas nacionais. Estamos prontos para contribuir para o reforço da capacidade imediata e a longo prazo da UE para reagir em tempos de crise e participar ativamente na definição do futuro da União Europeia;</w:t>
      </w:r>
    </w:p>
    <w:p w:rsidR="00B52928" w:rsidRPr="006D6137" w:rsidRDefault="00B52928" w:rsidP="00224405">
      <w:pPr>
        <w:suppressAutoHyphens/>
        <w:overflowPunct/>
        <w:adjustRightInd/>
        <w:textAlignment w:val="auto"/>
      </w:pPr>
    </w:p>
    <w:p w:rsidR="00854CBA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congratula-se com a ação sólida das instituições europeias que, no âmbito das suas competências, adotaram iniciativas com vista a uma resposta específica à crise da COVID-19. Reitera, porém, que, para além da primeira resposta a crises a curto prazo, urge criar as bases para uma maior resistência da União Europeia a todos os níveis. Um mecanismo europeu de emergência sanitária, um orçamento da UE reforçado, bem como um fundo de retoma da UE (+500 mil milhões de euros no mínimo) serão necessários para permitir a retoma das economias europeias através de despesas e investimentos públicos avultados a todos os níveis territoriais, colocando a tónica no crescimento sustentável, nas infraestruturas locais e regionais sustentáveis e na digitalização; </w:t>
      </w:r>
    </w:p>
    <w:p w:rsidR="00854CBA" w:rsidRPr="006D6137" w:rsidRDefault="00854CBA" w:rsidP="00854CBA">
      <w:pPr>
        <w:pStyle w:val="ListParagraph"/>
        <w:suppressAutoHyphens/>
        <w:overflowPunct/>
        <w:adjustRightInd/>
        <w:ind w:left="567"/>
        <w:textAlignment w:val="auto"/>
        <w:outlineLvl w:val="0"/>
      </w:pPr>
    </w:p>
    <w:p w:rsidR="00B52928" w:rsidRPr="006D6137" w:rsidRDefault="00F51515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lastRenderedPageBreak/>
        <w:t>acolhe favoravelmente as medidas tomadas por alguns Estados-Membros a nível nacional, regional e local, como garantias de empréstimos, diferimento das obrigações fiscais e moratórias de créditos hipotecários, para além de outros programas de apoio social executados em estreita colaboração com os órgãos de poder local e regional;</w:t>
      </w:r>
    </w:p>
    <w:p w:rsidR="00B52928" w:rsidRPr="006D6137" w:rsidRDefault="00B52928" w:rsidP="00854CBA">
      <w:pPr>
        <w:suppressAutoHyphens/>
        <w:overflowPunct/>
        <w:adjustRightInd/>
        <w:ind w:left="567" w:hanging="567"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overflowPunct/>
        <w:adjustRightInd/>
        <w:textAlignment w:val="auto"/>
        <w:outlineLvl w:val="0"/>
      </w:pPr>
      <w:r w:rsidRPr="006D6137">
        <w:t>alerta, porém, para o facto de o impacto desta crise sem precedentes para as finanças locais e regionais poder comprometer seriamente a capacidade dos órgãos de poder local e regional para responder a um aumento da procura de serviços de saúde, cuidados de saúde e sociais para os cidadãos, transportes públicos, ensino e demais serviços públicos, bem como acentuar a necessidade de incentivos económicos às empresas locais e da realização de ações que visem a sustentabilidade e a neutralidade climática. Qualquer centralização dos novos regimes de apoio financeiro aumentaria ainda mais este risco, pelo que solicita</w:t>
      </w:r>
      <w:r w:rsidR="008645CB" w:rsidRPr="006D6137">
        <w:t xml:space="preserve"> a descentralização nos Estados</w:t>
      </w:r>
      <w:r w:rsidR="008645CB" w:rsidRPr="006D6137">
        <w:noBreakHyphen/>
      </w:r>
      <w:r w:rsidRPr="006D6137">
        <w:t>Membros do acesso aos instrumentos financeiros da UE que dão resposta ao impacto da COVID-19, bem como um acesso direto específico dos órgãos de poder regional a esses recursos;</w:t>
      </w:r>
    </w:p>
    <w:p w:rsidR="00B52928" w:rsidRPr="006D6137" w:rsidRDefault="00B52928" w:rsidP="00224405">
      <w:pPr>
        <w:tabs>
          <w:tab w:val="left" w:pos="720"/>
        </w:tabs>
        <w:suppressAutoHyphens/>
        <w:overflowPunct/>
        <w:adjustRightInd/>
        <w:textAlignment w:val="auto"/>
      </w:pPr>
    </w:p>
    <w:p w:rsidR="00854CBA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entende que deve ser estabelecida uma coordenação transfronteiras e regional mais eficaz para a prestação de serviços de saúde aos cidadãos europeus, em particular durante a saída gradual do confinamento. Considera também necessário aferir em conjunto formas de rever as competências no domínio da saúde em harmonia com o princípio da subsidiariedade. Estima ainda que os órgãos de poder local e regional devem ser associados às estratégias de saída gradual do confinamento e de desconfinamento, à medida que estas forem sendo definidas; </w:t>
      </w:r>
    </w:p>
    <w:p w:rsidR="00854CBA" w:rsidRPr="006D6137" w:rsidRDefault="00854CBA" w:rsidP="00854CBA">
      <w:pPr>
        <w:pStyle w:val="ListParagraph"/>
        <w:suppressAutoHyphens/>
        <w:overflowPunct/>
        <w:adjustRightInd/>
        <w:ind w:left="567"/>
        <w:textAlignment w:val="auto"/>
        <w:outlineLvl w:val="0"/>
      </w:pPr>
    </w:p>
    <w:p w:rsidR="00C23DC5" w:rsidRPr="006D6137" w:rsidRDefault="00854C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adverte que a ênfase no poder executivo durante a resposta imediata à crise acarreta o risco de centralização. No entanto, a descentralização, a democracia a vários níveis, a autonomia local e a participação são elementos essenciais do modelo de governação europeu, sendo importantes para enfrentar a crise atual e garantir uma retoma justa e sustentável após a crise, pelo que devem ser salvaguardadas e reforçadas;</w:t>
      </w:r>
    </w:p>
    <w:p w:rsidR="00C23DC5" w:rsidRPr="006D6137" w:rsidRDefault="00C23DC5" w:rsidP="00854CBA">
      <w:pPr>
        <w:suppressAutoHyphens/>
        <w:overflowPunct/>
        <w:adjustRightInd/>
        <w:textAlignment w:val="auto"/>
      </w:pPr>
    </w:p>
    <w:p w:rsidR="00B52928" w:rsidRPr="006D6137" w:rsidRDefault="00025275" w:rsidP="00224405">
      <w:pPr>
        <w:keepNext/>
        <w:keepLines/>
        <w:suppressAutoHyphens/>
        <w:overflowPunct/>
        <w:adjustRightInd/>
        <w:textAlignment w:val="auto"/>
        <w:rPr>
          <w:i/>
        </w:rPr>
      </w:pPr>
      <w:r w:rsidRPr="006D6137">
        <w:rPr>
          <w:i/>
        </w:rPr>
        <w:t>Mecanismo europeu de emergência sanitária</w:t>
      </w:r>
    </w:p>
    <w:p w:rsidR="00B52928" w:rsidRPr="006D6137" w:rsidRDefault="00B52928" w:rsidP="00224405">
      <w:pPr>
        <w:keepNext/>
        <w:keepLines/>
        <w:suppressAutoHyphens/>
        <w:overflowPunct/>
        <w:adjustRightInd/>
        <w:ind w:left="567" w:hanging="567"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apela a um reforço significativo das capacidades de resposta a situações de emergência e a catástrofes da UE, nomeadamente a participação de estruturas nacionais, regionais e locais de resposta a situações de emergência. Para tal, é necessário reforçar o Centro de Coordenação de Resposta de Emergência da UE, ligando-o melhor ao Comité de Segurança da Saúde e ao Centro Europeu de Prevenção e Controlo das Doenças (ECDC) e criando um corpo de reação rápida de emergência médica da UE, bem como assegurar que os Estados-Membros e os órgãos de poder local e regional têm a capacidade necessária para dar uma resposta coordenada, financiando o estabelecimento de um sistema de monitorização regional ou local;</w:t>
      </w:r>
    </w:p>
    <w:p w:rsidR="00B52928" w:rsidRPr="006D6137" w:rsidRDefault="00B52928" w:rsidP="00224405">
      <w:pPr>
        <w:suppressAutoHyphens/>
        <w:overflowPunct/>
        <w:adjustRightInd/>
        <w:ind w:left="567"/>
        <w:textAlignment w:val="auto"/>
        <w:outlineLvl w:val="0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é favorável à ativação do «apoio de emergência» que confere à Comissão competências adicionais para atuar em tempos de crise. Considera que é necessária legislação adequada para um estatuto de «estado de emergência» em toda a UE ou em partes da mesma, a fim de conferir ao comissário da Ajuda Humanitária e Gestão de Crises a possibilidade de atuar mais rapidamente em nome da União; </w:t>
      </w:r>
    </w:p>
    <w:p w:rsidR="00B52928" w:rsidRPr="006D6137" w:rsidRDefault="00B52928" w:rsidP="00224405">
      <w:pPr>
        <w:suppressAutoHyphens/>
        <w:overflowPunct/>
        <w:adjustRightInd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lastRenderedPageBreak/>
        <w:t>reitera que a UE deve definir regras comuns para a produção e o armazenamento de reservas suficientes de equipamento de proteção individual (EPI), material médico essencial e recuperar a independência tecnológica em domínios estratégicos, como os princípios ativos farmacêuticos, essenciais para o fabrico de medicamentos, em estreita colaboração com os Estados-Membros e todos os níveis de governo.</w:t>
      </w:r>
      <w:r w:rsidRPr="006D6137">
        <w:rPr>
          <w:shd w:val="clear" w:color="auto" w:fill="FFFFFF" w:themeFill="background1"/>
        </w:rPr>
        <w:t xml:space="preserve"> </w:t>
      </w:r>
      <w:r w:rsidRPr="006D6137">
        <w:t>Da perspetiva dos órgãos de poder local e regional, a tónica a longo prazo deve ser colocada na manutenção de cadeias de produção e produtos estrategicamente importantes para a saúde da população europeia no âmbito do mercado interno europeu. Tal não deve impedir os Estados-Membros de estabelecerem os seus próprios níveis de EPI;</w:t>
      </w:r>
    </w:p>
    <w:p w:rsidR="00C23DC5" w:rsidRPr="006D6137" w:rsidRDefault="00C23DC5" w:rsidP="00224405">
      <w:pPr>
        <w:suppressAutoHyphens/>
        <w:overflowPunct/>
        <w:adjustRightInd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é favorável à ativação do Instrumento de Apoio de Emergência que complementa os demais instrumentos da UE, uma vez que o atual surto de COVID-19 requer uma resposta urgente, em grande escala e abrangente, tanto durante como após a crise, em toda a UE, nos países candidatos e vizinhos, tendo em conta não só as necessidades nacionais, mas também locais e regionais;</w:t>
      </w:r>
      <w:r w:rsidRPr="006D6137">
        <w:br/>
      </w:r>
    </w:p>
    <w:p w:rsidR="000B58E1" w:rsidRPr="006D6137" w:rsidRDefault="000B58E1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  <w:rPr>
          <w:szCs w:val="22"/>
        </w:rPr>
      </w:pPr>
      <w:r w:rsidRPr="006D6137">
        <w:t xml:space="preserve">insiste na necessidade de os Estados-Membros chegarem a acordo sobre um protocolo estatístico comum que permita a comparabilidade dos dados sobre o impacto da crise da COVID-19 e de pandemias futuras. Tal protocolo, a desenvolver sob a autoridade conjunta do ECDC e do Eurostat, poderá basear-se nos dados fornecidos ao nível NUTS 2 para favorecer uma resposta estratégica que inclua o recurso aos Fundos Europeus Estruturais e de Investimento; </w:t>
      </w:r>
    </w:p>
    <w:p w:rsidR="000B58E1" w:rsidRPr="006D6137" w:rsidRDefault="000B58E1" w:rsidP="000B58E1">
      <w:pPr>
        <w:pStyle w:val="ListParagraph"/>
        <w:suppressAutoHyphens/>
        <w:overflowPunct/>
        <w:adjustRightInd/>
        <w:ind w:left="567"/>
        <w:textAlignment w:val="auto"/>
        <w:outlineLvl w:val="0"/>
        <w:rPr>
          <w:szCs w:val="22"/>
        </w:rPr>
      </w:pPr>
    </w:p>
    <w:p w:rsidR="006F7D51" w:rsidRPr="006D6137" w:rsidRDefault="00574E25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rPr>
          <w:szCs w:val="22"/>
          <w:shd w:val="clear" w:color="auto" w:fill="FFFFFF" w:themeFill="background1"/>
        </w:rPr>
        <w:t xml:space="preserve">insiste na necessidade de apoiar, a nível europeu, a investigação e a inovação no domínio das pandemias, designadamente no âmbito do futuro programa Horizonte Europa, promovendo abordagens colaborativas entre universidades, laboratórios de investigação, empresas, órgãos de poder local e regional e cidadãos, bem como a cooperação europeia neste domínio. </w:t>
      </w:r>
      <w:r w:rsidRPr="006D6137">
        <w:t>Acolhe igualmente com agrado a organização, pela Comissão Europeia, da conferência de doadores, em 4 de maio, que visa reunir fundos para fomentar a investigação em prol do desenvolvimento e da distribuição de uma vacina contra a COVID-19;</w:t>
      </w:r>
    </w:p>
    <w:p w:rsidR="00B52928" w:rsidRPr="006D6137" w:rsidRDefault="00B52928" w:rsidP="00224405">
      <w:pPr>
        <w:suppressAutoHyphens/>
        <w:overflowPunct/>
        <w:adjustRightInd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congratula-se, em particular, com a decisão da Comissão, de 3 de abril de 2020, de isentar temporariamente de direitos aduaneiros e de IVA os dispositivos médicos e equipamentos de proteção. Tendo em conta que a procura de equipamento de proteção individual (em particular, máscaras) está a aumentar em vários países da UE, a Comissão deve ponderar rever o âmbito de aplicação da sua decisão, a fim de incluir as empresas privadas que são obrigadas a utilizar EPI, de modo a não colocar os produtores locais da UE numa situação de desvantagem económica. Além disso, a isenção temporária de IVA deve ser complementada com o reforço do controlo da fraude e uma regulação, a nível europeu, dos preços dos equipamentos essenciais, como as máscaras cirúrgicas; </w:t>
      </w:r>
    </w:p>
    <w:p w:rsidR="00B52928" w:rsidRPr="006D6137" w:rsidRDefault="00B52928" w:rsidP="00224405">
      <w:pPr>
        <w:suppressAutoHyphens/>
        <w:overflowPunct/>
        <w:adjustRightInd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salienta a importância de itinerários seguros para os cidadãos ou residentes da UE que regressam de países terceiros e a necessidade vital de uma abordagem coordenada da gestão das fronteiras e da quarentena à entrada;</w:t>
      </w:r>
    </w:p>
    <w:p w:rsidR="00B52928" w:rsidRPr="006D6137" w:rsidRDefault="00B52928" w:rsidP="00224405">
      <w:pPr>
        <w:suppressAutoHyphens/>
        <w:overflowPunct/>
        <w:adjustRightInd/>
        <w:ind w:left="567" w:hanging="567"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salienta que, devido à imprevisibilidade das catástrofes, a UE tem de assegurar uma aplicação direcionada de todos os fundos disponíveis e não utilizados no âmbito do atual orçamento da </w:t>
      </w:r>
      <w:r w:rsidRPr="006D6137">
        <w:lastRenderedPageBreak/>
        <w:t>UE, continuando simultaneamente a assegurar uma boa gestão financeira, e solicita um reforço das margens de flexibilidade no orçamento da UE, a fim de poder mobilizar o apoio de emergência em crises futuras;</w:t>
      </w:r>
    </w:p>
    <w:p w:rsidR="00B52928" w:rsidRPr="006D6137" w:rsidRDefault="00B52928" w:rsidP="00224405">
      <w:pPr>
        <w:suppressAutoHyphens/>
        <w:overflowPunct/>
        <w:adjustRightInd/>
        <w:ind w:left="567" w:hanging="567"/>
        <w:textAlignment w:val="auto"/>
      </w:pPr>
    </w:p>
    <w:p w:rsidR="00B52928" w:rsidRPr="006D6137" w:rsidRDefault="00025275" w:rsidP="00224405">
      <w:pPr>
        <w:keepNext/>
        <w:keepLines/>
        <w:suppressAutoHyphens/>
        <w:overflowPunct/>
        <w:adjustRightInd/>
        <w:ind w:left="567" w:hanging="567"/>
        <w:textAlignment w:val="auto"/>
        <w:rPr>
          <w:i/>
        </w:rPr>
      </w:pPr>
      <w:r w:rsidRPr="006D6137">
        <w:rPr>
          <w:i/>
        </w:rPr>
        <w:t>Coordenação e cooperação europeias durante e após a crise da COVID-19</w:t>
      </w:r>
    </w:p>
    <w:p w:rsidR="00B52928" w:rsidRPr="006D6137" w:rsidRDefault="00B52928" w:rsidP="00224405">
      <w:pPr>
        <w:keepNext/>
        <w:keepLines/>
        <w:suppressAutoHyphens/>
        <w:overflowPunct/>
        <w:adjustRightInd/>
        <w:ind w:left="567" w:hanging="567"/>
        <w:textAlignment w:val="auto"/>
      </w:pPr>
    </w:p>
    <w:p w:rsidR="00D3226C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congratula-se com o roteiro europeu comum para o levantamento das medidas de contenção da COVID-19, recordando a importância primordial de restabelecer o mais rapidamente possível a livre circulação de pessoas, bens, serviços e capitais, e reitera o compromisso com a coesão económica, social e territorial. Os Estados-Membros devem ser incentivados a permitir que os trabalhadores fronteiriços continuem a atravessar as fronteiras, em especial nos setores em que a livre circulação na UE é considerada essencial. Os controlos em vigor nas fronteiras internas da União Europeia devem e só podem ser medidas temporárias para abrandar a propagação da pandemia de COVID-19;</w:t>
      </w:r>
    </w:p>
    <w:p w:rsidR="00B52928" w:rsidRPr="006D6137" w:rsidRDefault="00B52928" w:rsidP="00D3226C">
      <w:pPr>
        <w:pStyle w:val="ListParagraph"/>
        <w:suppressAutoHyphens/>
        <w:overflowPunct/>
        <w:adjustRightInd/>
        <w:ind w:left="567"/>
        <w:textAlignment w:val="auto"/>
        <w:outlineLvl w:val="0"/>
      </w:pPr>
    </w:p>
    <w:p w:rsidR="00D3226C" w:rsidRPr="006D6137" w:rsidRDefault="00D3226C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manifesta preocupação pelo facto de a crise da COVID-19 ter afetado de forma dramática a cooperação transfronteiras nas fronteiras internas e externas e ter prejudicado muito a cooperação quotidiana, construída ao longo do tempo, entre os órgãos de poder local e regional, as empresas, as escolas, as universidades e outras instituições. Para assegurar uma retoma económica rápida das regiões fronteiriças, é necessário remover rapidamente os obstáculos jurídicos e administrativos. O «mecanismo europeu transfronteiras» proposto pela Comissão Europeia poderia desempenhar um papel importante neste processo. Por conseguinte, o Comité apela à rápida adoção deste mecanismo pelos legisladores da UE; </w:t>
      </w:r>
    </w:p>
    <w:p w:rsidR="00B52928" w:rsidRPr="006D6137" w:rsidRDefault="00B52928" w:rsidP="00224405">
      <w:pPr>
        <w:suppressAutoHyphens/>
        <w:overflowPunct/>
        <w:adjustRightInd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sublinha que é necessário um conjunto abrangente de esforços de coordenação com os países dos Balcãs Ocidentais, da Vizinhança Oriental e Meridional e de África, em particular os que dispõem de infraestruturas de saúde ou de centros de rastreio deficientes. Tal coordenação deve abordar a emergência sanitária, mas também atenuar o impacto da pandemia nas economias e sociedades das regiões e municípios parceiros da UE;</w:t>
      </w:r>
    </w:p>
    <w:p w:rsidR="00B52928" w:rsidRPr="006D6137" w:rsidRDefault="00B52928" w:rsidP="00224405">
      <w:pPr>
        <w:suppressAutoHyphens/>
        <w:overflowPunct/>
        <w:adjustRightInd/>
        <w:jc w:val="left"/>
        <w:textAlignment w:val="auto"/>
        <w:rPr>
          <w:sz w:val="24"/>
        </w:rPr>
      </w:pPr>
    </w:p>
    <w:p w:rsidR="00F51515" w:rsidRPr="006D6137" w:rsidRDefault="00603DBA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propõe que a criação de aplicações de rastreio de contactos seja coordenada com todos os Estados-Membros da UE, para que, em particular, os órgãos de poder local e regional, afetados gravemente pelas restrições territoriais de movimentação e circulação transfronteiriça, possam beneficiar destas aplicações. No entanto, as diversas aplicações devem cumprir integralmente as regras da UE e nacionais em matéria de proteção de dados e privacidade e ser transparentes, voluntárias e de natureza temporária;</w:t>
      </w:r>
    </w:p>
    <w:p w:rsidR="00B52928" w:rsidRPr="006D6137" w:rsidRDefault="00B52928" w:rsidP="000012A4">
      <w:pPr>
        <w:suppressAutoHyphens/>
        <w:overflowPunct/>
        <w:adjustRightInd/>
        <w:textAlignment w:val="auto"/>
        <w:outlineLvl w:val="0"/>
      </w:pPr>
    </w:p>
    <w:p w:rsidR="000B58E1" w:rsidRPr="006D6137" w:rsidRDefault="000B58E1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rPr>
          <w:szCs w:val="22"/>
          <w:shd w:val="clear" w:color="auto" w:fill="FFFFFF" w:themeFill="background1"/>
        </w:rPr>
        <w:t>destaca a importância de se adotarem medidas ao nível da UE para garantir que os tratamentos e, eventualmente, a vacina contra a COVID-19 chegam de forma equitativa a todos os cidadãos da UE, segundo critérios epidemiológicos unificados;</w:t>
      </w:r>
    </w:p>
    <w:p w:rsidR="00B52928" w:rsidRPr="006D6137" w:rsidRDefault="00B52928" w:rsidP="00224405">
      <w:pPr>
        <w:suppressAutoHyphens/>
        <w:overflowPunct/>
        <w:adjustRightInd/>
        <w:ind w:left="567" w:hanging="567"/>
        <w:textAlignment w:val="auto"/>
      </w:pPr>
    </w:p>
    <w:p w:rsidR="00B52928" w:rsidRPr="006D6137" w:rsidRDefault="00025275" w:rsidP="00224405">
      <w:pPr>
        <w:keepNext/>
        <w:keepLines/>
        <w:suppressAutoHyphens/>
        <w:overflowPunct/>
        <w:adjustRightInd/>
        <w:jc w:val="left"/>
        <w:textAlignment w:val="auto"/>
        <w:rPr>
          <w:i/>
        </w:rPr>
      </w:pPr>
      <w:r w:rsidRPr="006D6137">
        <w:rPr>
          <w:i/>
        </w:rPr>
        <w:t>Um plano de retoma da UE para aldeias, municípios e regiões sustentáveis, resistentes e inteligentes</w:t>
      </w:r>
    </w:p>
    <w:p w:rsidR="00B52928" w:rsidRPr="006D6137" w:rsidRDefault="00B52928" w:rsidP="00224405">
      <w:pPr>
        <w:keepNext/>
        <w:keepLines/>
        <w:suppressAutoHyphens/>
        <w:overflowPunct/>
        <w:adjustRightInd/>
        <w:ind w:left="567" w:hanging="567"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sublinha a necessidade de um plano de retoma arrojado para a União Europeia sair da crise da COVID-19, fundado na solidariedade, no crescimento sustentável e na tenacidade. A execução dos Objetivos de Desenvolvimento Sustentável (ODS), do Pacto Ecológico Europeu e do Pilar </w:t>
      </w:r>
      <w:r w:rsidRPr="006D6137">
        <w:lastRenderedPageBreak/>
        <w:t>Europeu dos Direitos Sociais deve estar no cerne deste plano de retoma da UE, a fim de transformar a crise numa oportunidade para combater urgentemente as alterações climáticas e reforçar a coesão económica, social e territorial da UE. A este respeito, insta a Comissão a lançar o plano de investimento para uma Europa sustentável e a reforçar o Mecanismo para uma Transição Justa, disponível para as regiões europeias que enfrentam dificuldades nos processos de transição, em simultâneo com o Instrumento de Apoio de Emergência;</w:t>
      </w:r>
    </w:p>
    <w:p w:rsidR="00B52928" w:rsidRPr="006D6137" w:rsidRDefault="00B52928" w:rsidP="00224405">
      <w:pPr>
        <w:suppressAutoHyphens/>
        <w:overflowPunct/>
        <w:adjustRightInd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reitera a sua convicção de que o Pacto Ecológico Europeu, enquanto nova estratégia de crescimento da UE, é fundamental para estimular as economias e criar emprego, acelerando simultaneamente a transição ecológica de uma forma eficiente em termos de custos, com a plena participação dos órgãos de poder local e regional. A fim de manter a dinâmica e garantir a segurança do planeamento a longo prazo para alcançar a neutralidade climática até 2050 e cumprir o calendário do Acordo de Paris, a Comissão deve combater qualquer tentativa de suspender ou adiar a aplicação da legislação da UE já em vigor, como a legislação relativa aos plásticos de utilização única, e manter o calendário de todas as iniciativas futuras pertinentes, como a Lei do Clima, as estratégias para as florestas e a biodiversidade, bem como a iniciativa «do prado ao prato»;</w:t>
      </w:r>
    </w:p>
    <w:p w:rsidR="00B52928" w:rsidRPr="006D6137" w:rsidRDefault="00B52928" w:rsidP="00224405">
      <w:pPr>
        <w:suppressAutoHyphens/>
        <w:overflowPunct/>
        <w:adjustRightInd/>
        <w:ind w:left="567" w:hanging="567"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considera que, devido à crise da COVID-19, não há o tempo nem a margem habituais para as negociações do orçamento da UE. O novo orçamento da UE deve ser o pilar financeiro da retoma europeia e reforçar a coesão económica social e territorial em todos os territórios da UE. Apenas um Quadro Financeiro Plurianual ambicioso, baseado na plena utilização do limite máximo do RNB, conseguirá enfrentar o desafio de uma retoma sustentável e equitativa. Além disso, o CR apoia um aumento temporário do limite máximo do orçamento da UE dos atuais 1,2% do RNB da UE para 2% do RNB;</w:t>
      </w:r>
    </w:p>
    <w:p w:rsidR="00B52928" w:rsidRPr="006D6137" w:rsidRDefault="00B52928" w:rsidP="00224405">
      <w:pPr>
        <w:suppressAutoHyphens/>
        <w:overflowPunct/>
        <w:adjustRightInd/>
        <w:ind w:left="567" w:hanging="567"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salienta que a revisão da proposta da Comissão para o próximo orçamento europeu deve igualmente incluir uma reforma dos recursos próprios, que deverá nomeadamente ter em conta a redução das contribuições baseadas no RNB dos Estados-Membros. Para compensar essa perda, o CR apoia, em particular, novos recursos próprios para a UE, incluindo um imposto sobre o carbono nas fronteiras e outras formas de financiamento que não afetem de forma desproporcionada nenhum Estado-Membro da UE, em particular. Deve também ser considerada uma taxa de solidariedade sobre as vendas a descoberto de caráter especulativo nos mercados financeiros; </w:t>
      </w:r>
    </w:p>
    <w:p w:rsidR="001E208A" w:rsidRPr="006D6137" w:rsidRDefault="001E208A" w:rsidP="001E208A">
      <w:pPr>
        <w:pStyle w:val="ListParagraph"/>
        <w:suppressAutoHyphens/>
        <w:overflowPunct/>
        <w:adjustRightInd/>
        <w:ind w:left="567"/>
        <w:textAlignment w:val="auto"/>
        <w:outlineLvl w:val="0"/>
      </w:pPr>
    </w:p>
    <w:p w:rsidR="001E208A" w:rsidRPr="006D6137" w:rsidRDefault="001E208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considera que se os chefes de Estado e de governo não chegarem brevemente a acordo sobre o novo Quadro Financeiro Plurianual, a prorrogação do quadro atual por um ou dois anos reforçaria a capacidade de os órgãos de poder local e regional absorverem os fundos nos primeiros anos da crise económica; </w:t>
      </w:r>
    </w:p>
    <w:p w:rsidR="00B52928" w:rsidRPr="006D6137" w:rsidRDefault="00B52928" w:rsidP="00224405">
      <w:pPr>
        <w:suppressAutoHyphens/>
        <w:overflowPunct/>
        <w:adjustRightInd/>
        <w:ind w:left="567" w:hanging="567"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insiste em que os recursos afetados à vertente Saúde no período de programação de 2021-2027 têm de ser superiores aos do Programa de Saúde da UE para 2014-2020;</w:t>
      </w:r>
    </w:p>
    <w:p w:rsidR="00B52928" w:rsidRPr="006D6137" w:rsidRDefault="00B52928" w:rsidP="00224405">
      <w:pPr>
        <w:suppressAutoHyphens/>
        <w:overflowPunct/>
        <w:adjustRightInd/>
        <w:ind w:left="567" w:hanging="567"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salienta que, contrariamente a crises anteriores, a atual tem sido simétrica ao afetar todos os Estados-Membros, mas o impacto geográfico diferenciado acentuará ainda mais as clivagens económicas, sociais e territoriais. Tal afetará, em particular, as regiões cuja situação já era mais </w:t>
      </w:r>
      <w:r w:rsidRPr="006D6137">
        <w:lastRenderedPageBreak/>
        <w:t>precária antes da crise e cujas perspetivas de retoma estão comprometidas devido às desvantagens geográficas e às maiores dificuldades em beneficiar do mercado único. As estratégias de retoma devem, por conseguinte, basear-se nas necessidades e oportunidades locais e regionais e assentar em parcerias de empresas, administração pública e sociedade civil. Juntamente com os seus parceiros da Aliança pela Coesão (#CohesionAlliance), o CR lutará por uma política de coesão mais forte e de base local, que deve ser dotada dos recursos adequados. Tal inclui o reforço do papel dos órgãos de poder descentralizados na gestão e investimento dos fundos da UE, em cooperação com as autoridades nacionais e da UE;</w:t>
      </w:r>
    </w:p>
    <w:p w:rsidR="00B52928" w:rsidRPr="006D6137" w:rsidRDefault="00B52928" w:rsidP="00224405">
      <w:pPr>
        <w:suppressAutoHyphens/>
        <w:overflowPunct/>
        <w:adjustRightInd/>
        <w:jc w:val="left"/>
        <w:textAlignment w:val="auto"/>
        <w:rPr>
          <w:sz w:val="24"/>
        </w:rPr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manifesta a sua profunda preocupação com o impacto da pandemia no emprego, nomeadamente nos trabalhadores por conta de outrem, e insta as instituições europeias e os Estados-Membros a darem prioridade à salvaguarda dos postos de trabalho existentes, à criação de condições eficazes para regenerar os empregos já perdidos e à proteção social das pessoas desempregadas. Ademais, importa avaliar a situação da proteção sanitária nos locais de trabalho e assegurar que esse aspeto seja seriamente tido em conta em todos os tipos de trabalho, incluindo os com os salários mais baixos;</w:t>
      </w:r>
    </w:p>
    <w:p w:rsidR="00B52928" w:rsidRPr="006D6137" w:rsidRDefault="00B52928" w:rsidP="00224405">
      <w:pPr>
        <w:suppressAutoHyphens/>
        <w:overflowPunct/>
        <w:adjustRightInd/>
        <w:textAlignment w:val="auto"/>
      </w:pPr>
    </w:p>
    <w:p w:rsidR="005D559D" w:rsidRPr="006D6137" w:rsidRDefault="00603DBA" w:rsidP="00854CBA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considera que as micro, pequenas e médias empresas (PME) estão entre as mais afetadas pela pandemia. A sua capacidade de sobrevivência será crucial para relançar o motor da economia europeia após a crise e constituirá um teste decisivo para o funcionamento do mercado único europeu. As PME enfrentam problemas consideráveis de fluxo de caixa, com repercussões no emprego local e na economia em geral.</w:t>
      </w:r>
      <w:r w:rsidRPr="006D6137">
        <w:rPr>
          <w:rFonts w:ascii="Arial Unicode MS" w:hAnsi="Arial Unicode MS"/>
        </w:rPr>
        <w:t xml:space="preserve"> </w:t>
      </w:r>
      <w:r w:rsidRPr="006D6137">
        <w:t xml:space="preserve">Para além dos instrumentos europeus previstos para apoiar as PME a curto prazo, nomeadamente através de regimes de apoio do Grupo do Banco Europeu de Investimento e, em particular, dos mecanismos do Fundo Europeu de Investimento, o plano de retoma a longo prazo no âmbito da política de coesão da UE deve centrar-se no restabelecimento da sua liquidez financeira e no investimento na transição digital e ambiental das PME. Deve ter por objetivo estimular a criação de novas empresas e desenvolver novas capacidades de produção, reunindo instituições académicas e de investigação com o setor empresarial; </w:t>
      </w:r>
    </w:p>
    <w:p w:rsidR="00854CBA" w:rsidRPr="006D6137" w:rsidRDefault="00854CBA" w:rsidP="00854CBA">
      <w:pPr>
        <w:pStyle w:val="ListParagraph"/>
        <w:suppressAutoHyphens/>
        <w:overflowPunct/>
        <w:adjustRightInd/>
        <w:ind w:left="567"/>
        <w:textAlignment w:val="auto"/>
        <w:outlineLvl w:val="0"/>
      </w:pPr>
    </w:p>
    <w:p w:rsidR="00B16EF5" w:rsidRPr="006D6137" w:rsidRDefault="00076161" w:rsidP="00B16EF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considera que a concessão de apoio financeiro público às empresas no âmbito das medidas de atenuação dos efeitos da COVID-19, inclusive o apoio cofinanciado com fundos europeus, deve estar subordinada ao pagamento do imposto sobre as sociedades nacional por essas empresas e o pagamento de dividendos deve estar subordinado à adoção de compromissos socioeconómicos claramente estabelecidos no sentido de atenuar a crise da COVID-19; </w:t>
      </w:r>
    </w:p>
    <w:p w:rsidR="005D559D" w:rsidRPr="006D6137" w:rsidRDefault="005D559D" w:rsidP="005D559D">
      <w:pPr>
        <w:pStyle w:val="ListParagraph"/>
        <w:suppressAutoHyphens/>
        <w:overflowPunct/>
        <w:adjustRightInd/>
        <w:ind w:left="567"/>
        <w:textAlignment w:val="auto"/>
        <w:outlineLvl w:val="0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sublinha que a crise da COVID-19 revelou a fragilidade das cadeias de valor internacionais. sublinha, a este respeito, a necessidade de preservar a competitividade global das empresas europeias e assegurar a autonomia das cadeias de valor fundamentais para a UE;</w:t>
      </w:r>
    </w:p>
    <w:p w:rsidR="00B52928" w:rsidRPr="006D6137" w:rsidRDefault="00B52928" w:rsidP="00224405">
      <w:pPr>
        <w:suppressAutoHyphens/>
        <w:overflowPunct/>
        <w:adjustRightInd/>
        <w:textAlignment w:val="auto"/>
      </w:pPr>
    </w:p>
    <w:p w:rsidR="00B52928" w:rsidRPr="006D6137" w:rsidRDefault="00603DBA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congratula-se com o resultado da reunião do Eurogrupo, de 9 de abril de 2020, e do Conselho Europeu, de 23 de abril de 2020, como uma primeira resposta a um plano de retoma global e a prova de que a UE está pronta para combater a COVID-19 em solidariedade; louva, em particular, a proposta de um novo instrumento de solidariedade da UE no valor de 100 mil milhões de euros – o instrumento europeu de apoio temporário para atenuar os riscos de desemprego numa situação de emergência –, assegurando que os trabalhadores da Europa, </w:t>
      </w:r>
      <w:r w:rsidRPr="006D6137">
        <w:lastRenderedPageBreak/>
        <w:t xml:space="preserve">nomeadamente os trabalhadores por conta própria e os trabalhadores transfronteiriços, estão protegidos contra a perda de rendimentos e ajudando as empresas a manter o seu pessoal durante e após a pandemia; assinala igualmente a facilitação do acesso, com condições muito limitadas, ao Mecanismo Europeu de Estabilidade no montante máximo de 240 mil milhões de euros, bem como a criação de um Fundo Europeu de Garantia de 25 mil milhões de euros que contribuirá para o financiamento de até 200 mil milhões de euros para as empresas, visando especialmente as PME; </w:t>
      </w:r>
    </w:p>
    <w:p w:rsidR="00F51515" w:rsidRPr="006D6137" w:rsidRDefault="00F51515" w:rsidP="000012A4">
      <w:pPr>
        <w:suppressAutoHyphens/>
        <w:overflowPunct/>
        <w:adjustRightInd/>
        <w:textAlignment w:val="auto"/>
        <w:outlineLvl w:val="0"/>
      </w:pPr>
    </w:p>
    <w:p w:rsidR="00F51515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continua convicto de que estas medidas imediatas devem ser seguidas da criação de um </w:t>
      </w:r>
      <w:r w:rsidRPr="006D6137">
        <w:rPr>
          <w:b/>
        </w:rPr>
        <w:t>fundo de retoma da UE</w:t>
      </w:r>
      <w:r w:rsidRPr="006D6137">
        <w:t>, associado ao orçamento da UE e apoiado no seguro de dívida europeu. O fundo, que teria de ascender a, no mínimo, 500 mil milhões de euros, deve permitir investimentos prospetivos sustentáveis e centrar-se, em especial, no investimento em infraestruturas locais e regionais sustentáveis, em particular no que diz respeito à eficiência energética (nomeadamente em hospitais, escolas, infraestruturas desportivas e demais edifícios públicos), a instalações de gestão de resíduos, a transportes de baixas emissões e à digitalização. Deve também financiar o reforço dos ecossistemas de biodiversidade enquanto medidas de confinamento e atenuação para epidemias e pandemias futuras;</w:t>
      </w:r>
    </w:p>
    <w:p w:rsidR="001765FE" w:rsidRPr="006D6137" w:rsidRDefault="001765FE" w:rsidP="00224405">
      <w:pPr>
        <w:suppressAutoHyphens/>
        <w:overflowPunct/>
        <w:adjustRightInd/>
        <w:ind w:left="567" w:hanging="567"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apoia a ativação da cláusula de derrogação de âmbito geral do Pacto de Estabilidade e Crescimento (PEC), que deve ser mantida enquanto a reforma do PEC, lançada pela Comissão Europeia em fevereiro de 2020 e que apoia políticas contracíclicas, não estiver concluída;</w:t>
      </w:r>
    </w:p>
    <w:p w:rsidR="00B52928" w:rsidRPr="006D6137" w:rsidRDefault="00B52928" w:rsidP="00224405">
      <w:pPr>
        <w:suppressAutoHyphens/>
        <w:overflowPunct/>
        <w:adjustRightInd/>
        <w:ind w:left="567" w:hanging="567"/>
        <w:textAlignment w:val="auto"/>
        <w:outlineLvl w:val="0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reitera o seu apelo para que o cofinanciamento nacional ou regional dos Fundos Europeus Estruturais e de Investimento seja dispensado do cálculo do PEC, a fim de evitar a limitação do investimento orientado para a retoma e a aplicação dos objetivos da União Europeia para transições justas; </w:t>
      </w:r>
    </w:p>
    <w:p w:rsidR="00D27B3D" w:rsidRPr="006D6137" w:rsidRDefault="00D27B3D" w:rsidP="00D27B3D">
      <w:pPr>
        <w:pStyle w:val="ListParagraph"/>
        <w:suppressAutoHyphens/>
        <w:overflowPunct/>
        <w:adjustRightInd/>
        <w:ind w:left="567"/>
        <w:textAlignment w:val="auto"/>
        <w:outlineLvl w:val="0"/>
      </w:pPr>
    </w:p>
    <w:p w:rsidR="00F51515" w:rsidRPr="006D6137" w:rsidRDefault="00603DBA" w:rsidP="002A4DBB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congratula-se com as medidas destinadas a reorientar a utilização dos fundos no âmbito da política de coesão para responder à pandemia de COVI</w:t>
      </w:r>
      <w:r w:rsidR="008645CB" w:rsidRPr="006D6137">
        <w:t>D-19, como a mobilização de pré</w:t>
      </w:r>
      <w:r w:rsidR="008645CB" w:rsidRPr="006D6137">
        <w:noBreakHyphen/>
      </w:r>
      <w:r w:rsidRPr="006D6137">
        <w:t>financiamentos não utilizados, o alargamento dos critérios de elegibilidade, o aumento temporário das taxas de cofinanciamento, bem como as medidas destinadas a reduzir os encargos administrativos decorrentes da execução dos programas; contudo, salienta que, nesta fase do período de programação 2014-2020, em algumas regiões, os montantes ainda disponíveis são muito reduzidos e que as medidas de flexibilidade devem ir mais longe;</w:t>
      </w:r>
    </w:p>
    <w:p w:rsidR="00511C65" w:rsidRPr="006D6137" w:rsidRDefault="00511C65" w:rsidP="00224405">
      <w:pPr>
        <w:suppressAutoHyphens/>
        <w:overflowPunct/>
        <w:adjustRightInd/>
        <w:ind w:left="567"/>
        <w:textAlignment w:val="auto"/>
        <w:outlineLvl w:val="0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apela à criação de um programa europeu para avaliar, reajustar e monitorizar a capacidade dos sistemas de saúde regionais no terreno e reservar fundos que permitam um investimento significativo na digitalização, sustentabilidade e eficiência desses sistemas, incluindo a formação dos profissionais de saúde;</w:t>
      </w:r>
    </w:p>
    <w:p w:rsidR="00B52928" w:rsidRPr="006D6137" w:rsidRDefault="00B52928" w:rsidP="00224405">
      <w:pPr>
        <w:suppressAutoHyphens/>
        <w:overflowPunct/>
        <w:adjustRightInd/>
        <w:ind w:left="567"/>
        <w:textAlignment w:val="auto"/>
        <w:outlineLvl w:val="0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salienta a necessidade de os órgãos de poder local e regional abordarem com urgência o caso específico das pessoas mais carenciadas e vulneráveis que residem nas suas comunidades e necessitam de ajuda específica para combater e evitar uma maior propagação da COVID-19, em particular as pessoas com deficiência, as pessoas em situação de sem abrigo, os refugiados, os migrantes nas zonas críticas, os menores não acompanhados e a comunidade cigana. Deve conceder-se prioridade aos auxílios, nomeadamente através do Fundo de Auxílio Europeu às </w:t>
      </w:r>
      <w:r w:rsidRPr="006D6137">
        <w:lastRenderedPageBreak/>
        <w:t>Pessoas mais Carenciadas (FAEPMC), e às medidas de atenuação da crise destinadas às pessoas mais vulneráveis. Os inquilinos devem beneficiar de proteção contra despejos durante a crise e deve disponibilizar-se alojamento para as pessoas em situação de sem abrigo;</w:t>
      </w:r>
    </w:p>
    <w:p w:rsidR="00B52928" w:rsidRPr="006D6137" w:rsidRDefault="00B52928" w:rsidP="00224405">
      <w:pPr>
        <w:suppressAutoHyphens/>
        <w:overflowPunct/>
        <w:adjustRightInd/>
        <w:textAlignment w:val="auto"/>
      </w:pPr>
    </w:p>
    <w:p w:rsidR="00C8425B" w:rsidRPr="006D6137" w:rsidRDefault="00C8425B" w:rsidP="00C8425B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sublinha o impacto desproporcionado da crise nas mulheres, que representam, de longe, a grande maioria da força de trabalho no setor social e da saúde durante a crise; apela, por conseguinte, com veemência para que se recolham dados repartidos por género sobre o impacto da COVID-19 e se integre a orçamentação sensível ao género a nível da UE. A crise torna mais premente alinhar os salários, as condições de trabalho e as pensões, de uma forma neutra em termos de género, e revela a urgência de se tomarem medidas para a questão dos cuidados não remunerados e para o combate à violência doméstica, que aumentou drasticamente durante o confinamento; </w:t>
      </w:r>
    </w:p>
    <w:p w:rsidR="00C8425B" w:rsidRPr="006D6137" w:rsidRDefault="00C8425B" w:rsidP="00C8425B">
      <w:pPr>
        <w:suppressAutoHyphens/>
        <w:overflowPunct/>
        <w:adjustRightInd/>
        <w:textAlignment w:val="auto"/>
      </w:pPr>
    </w:p>
    <w:p w:rsidR="002A4DBB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apela a um plano de integração rural para promover a inovação, o empreendedorismo e a conectividade das zonas rurais, com o financiamento de um Fundo de Desenvolvimento Rural reforçado. O plano deve abordar as vulnerabilidades específicas das comunidades rurais que foram agravadas pela crise, como as desvantagens económicas e sociais, as perturbações na cadeia de abastecimento alimentar, os desafios demográficos, o papel vital da mão de obra migrante, a menor presença de serviços públicos e a falta de investimento em infraestruturas, como a conectividade em banda larga e equipamentos de TIC, na medida em que ficou demonstrado que o acesso a conectividade em banda larga é uma condição indispensável para fluxos de informação adequados, para o teletrabalho e para a aprendizagem em linha;</w:t>
      </w:r>
    </w:p>
    <w:p w:rsidR="002A4DBB" w:rsidRPr="006D6137" w:rsidRDefault="002A4DBB" w:rsidP="002A4DBB">
      <w:pPr>
        <w:pStyle w:val="ListParagraph"/>
        <w:suppressAutoHyphens/>
        <w:overflowPunct/>
        <w:adjustRightInd/>
        <w:ind w:left="567"/>
        <w:textAlignment w:val="auto"/>
        <w:outlineLvl w:val="0"/>
      </w:pPr>
    </w:p>
    <w:p w:rsidR="00B52928" w:rsidRPr="006D6137" w:rsidRDefault="002A4DBB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salienta a necessidade urgente de salvaguardar o direito à educação e à escolarização para todos, reforçando a capacidade de resistência dos sistemas de ensino às crises, nomeadamente através da digitalização do ensino e da formação adequada dos docentes. A conectividade e os aparelhos necessários para o ensino à distância e o ensino eletrónico devem ser considerados parte integrante desta transição. Neste contexto, a Comissão deve ponderar a alteração do Plano de Ação para a Educação Digital, a fim de resolver a situação nas regiões mais afetadas pela fratura digital; </w:t>
      </w:r>
    </w:p>
    <w:p w:rsidR="00511C65" w:rsidRPr="006D6137" w:rsidRDefault="00511C65" w:rsidP="00224405">
      <w:pPr>
        <w:suppressAutoHyphens/>
        <w:overflowPunct/>
        <w:adjustRightInd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insta a Comissão Europeia a propor novas medidas excecionais nos mercados agrícolas para reduzir o impacto da crise e a utilizar as possibilidades das organizações de mercado da UE, especialmente em termos de facilitação do trabalho sazonal e transfronteiras, do apoio aos produtores locais, do acesso aos principais fatores de produção e, eventualmente, das reposições das reservas agroalimentares da UE. A Comissão deve igualmente permitir que os Estados-Membros antecipem os pagamentos diretos aos agricultores, a fim de disponibilizar a liquidez de que necessitam com urgência. A política agrícola da UE deve assegurar que a agricultura e a produção alimentar se baseiam, mais do que nunca, nos critérios da sustentabilidade, nomeadamente em termos de cadeias de abastecimento curtas, proteção da biodiversidade, dos solos e dos animais e salários justos;</w:t>
      </w:r>
    </w:p>
    <w:p w:rsidR="00B52928" w:rsidRPr="006D6137" w:rsidRDefault="00B52928" w:rsidP="00224405">
      <w:pPr>
        <w:suppressAutoHyphens/>
        <w:overflowPunct/>
        <w:adjustRightInd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>apela à aplicação de medidas especiais para atenuar o impacto do surto de COVID-19 nos piscicultores e aquicultores, bem como no setor da transformação de produtos da pesca; solicita, em particular, um procedimento simplificado e acelerado e de um formulário de requerimento normalizado;</w:t>
      </w:r>
    </w:p>
    <w:p w:rsidR="00B52928" w:rsidRPr="006D6137" w:rsidRDefault="00B52928" w:rsidP="00224405">
      <w:pPr>
        <w:suppressAutoHyphens/>
        <w:overflowPunct/>
        <w:adjustRightInd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  <w:rPr>
          <w:highlight w:val="yellow"/>
        </w:rPr>
      </w:pPr>
      <w:r w:rsidRPr="006D6137">
        <w:t xml:space="preserve">continua preocupado com as consequências das medidas de confinamento no setor do turismo em toda a UE e, em especial, nas zonas em que o turismo representa a principal fonte de rendimento. Por conseguinte, o apoio ao turismo deve ser uma prioridade no âmbito da resposta à crise e dos planos e medidas de retoma das economias afetadas. A Comissão Europeia deve propor medidas excecionais para o sistema integrado de turismo e transporte, a fim de atenuar o impacto da crise e garantir a proteção dos viajantes e dos trabalhadores, a sobrevivência das empresas e as políticas de coordenação setorial; </w:t>
      </w:r>
    </w:p>
    <w:p w:rsidR="001765FE" w:rsidRPr="006D6137" w:rsidRDefault="001765FE" w:rsidP="00286E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2"/>
        </w:rPr>
      </w:pPr>
      <w:r w:rsidRPr="006D6137">
        <w:t xml:space="preserve"> </w:t>
      </w:r>
    </w:p>
    <w:p w:rsidR="00AA7388" w:rsidRPr="006D6137" w:rsidRDefault="00AA7388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sublinha que os setores cultural e criativo são gravemente afetados pela crise atual; convida, neste contexto, a Comissão a ponderar um reforço do Mecanismo de Garantia dos Setores Culturais e Criativos (Programa Europa Criativa), aumentando a sua dotação no quadro do orçamento para 2021 ou transferindo verbas do Fundo Europeu para Investimentos Estratégicos; </w:t>
      </w:r>
    </w:p>
    <w:p w:rsidR="00AA7388" w:rsidRPr="006D6137" w:rsidRDefault="00AA7388" w:rsidP="00AA7388">
      <w:pPr>
        <w:pStyle w:val="ListParagraph"/>
        <w:suppressAutoHyphens/>
        <w:overflowPunct/>
        <w:adjustRightInd/>
        <w:ind w:left="567"/>
        <w:textAlignment w:val="auto"/>
        <w:outlineLvl w:val="0"/>
      </w:pPr>
    </w:p>
    <w:p w:rsidR="00A25677" w:rsidRPr="006D6137" w:rsidRDefault="00383470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  <w:outlineLvl w:val="0"/>
      </w:pPr>
      <w:r w:rsidRPr="006D6137">
        <w:t xml:space="preserve">considera que a pandemia de COVID-19 destacou as desigualdades entre países, da interdependência global e, mais do que nunca, da necessidade de reforçar os laços de solidariedade e a cooperação internacional entre os povos. Por conseguinte, devem reforçar-se os programas de cooperação internacional e de ajuda humanitária, a fim ajudar os países mais vulneráveis a enfrentarem a crise, reforçando a capacidade de resistência das pessoas e das comunidades, em particular no hemisfério sul; </w:t>
      </w:r>
    </w:p>
    <w:p w:rsidR="00D27B3D" w:rsidRPr="006D6137" w:rsidRDefault="00D27B3D" w:rsidP="00D27B3D">
      <w:pPr>
        <w:suppressAutoHyphens/>
        <w:overflowPunct/>
        <w:adjustRightInd/>
        <w:textAlignment w:val="auto"/>
        <w:outlineLvl w:val="0"/>
        <w:rPr>
          <w:i/>
        </w:rPr>
      </w:pPr>
    </w:p>
    <w:p w:rsidR="00D27B3D" w:rsidRPr="006D6137" w:rsidRDefault="00D27B3D" w:rsidP="00ED55BD">
      <w:pPr>
        <w:keepNext/>
        <w:keepLines/>
        <w:suppressAutoHyphens/>
        <w:overflowPunct/>
        <w:adjustRightInd/>
        <w:textAlignment w:val="auto"/>
        <w:outlineLvl w:val="0"/>
        <w:rPr>
          <w:i/>
        </w:rPr>
      </w:pPr>
      <w:r w:rsidRPr="006D6137">
        <w:rPr>
          <w:i/>
        </w:rPr>
        <w:t>A crise do coronavírus levanta questões fundamentais sobre a estrutura institucional e jurídica da UE</w:t>
      </w:r>
    </w:p>
    <w:p w:rsidR="00D27B3D" w:rsidRPr="006D6137" w:rsidRDefault="00D27B3D" w:rsidP="00ED55BD">
      <w:pPr>
        <w:keepNext/>
        <w:keepLines/>
        <w:suppressAutoHyphens/>
        <w:overflowPunct/>
        <w:adjustRightInd/>
        <w:textAlignment w:val="auto"/>
        <w:outlineLvl w:val="0"/>
      </w:pPr>
    </w:p>
    <w:p w:rsidR="00F51515" w:rsidRPr="006D6137" w:rsidRDefault="00603DBA" w:rsidP="00784C7A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</w:pPr>
      <w:r w:rsidRPr="006D6137">
        <w:t>salienta que, nos termos do artigo 222.º do Tratado sobre o Funcionamento da União Europeia, a solidariedade não é uma opção, mas sim uma obrigação decorrente do Tratado. No entanto, o CR considera que esta cláusula ainda carece de um protocolo de aplicação e insta a Comissão Europeia a propor urgentemente um protocolo deste tipo, que inclua normas para a cooperação europeia em situações de crise semelhantes. Tal cooperação deve basear-se numa abordagem de governação a vários níveis (vertical e horizontal). A pandemia de COVID-19 mostra simultaneamente uma vulnerabilidade no funcionamento d</w:t>
      </w:r>
      <w:r w:rsidR="008645CB" w:rsidRPr="006D6137">
        <w:t>a UE e em que medida os Estados</w:t>
      </w:r>
      <w:r w:rsidR="008645CB" w:rsidRPr="006D6137">
        <w:noBreakHyphen/>
      </w:r>
      <w:r w:rsidRPr="006D6137">
        <w:t xml:space="preserve">Membros e os cidadãos da UE estão interligados. A UE só pode resolver esta crise e eventuais crises futuras se todos os níveis de governo (UE, nacional, regional e local), os agentes económicos e sociais e os cidadãos da UE assumirem as suas responsabilidades; </w:t>
      </w:r>
    </w:p>
    <w:p w:rsidR="0041423B" w:rsidRPr="006D6137" w:rsidRDefault="0041423B" w:rsidP="00784C7A">
      <w:pPr>
        <w:suppressAutoHyphens/>
        <w:overflowPunct/>
        <w:adjustRightInd/>
        <w:ind w:left="567" w:hanging="567"/>
        <w:textAlignment w:val="auto"/>
      </w:pPr>
    </w:p>
    <w:p w:rsidR="00C602E4" w:rsidRPr="006D6137" w:rsidRDefault="00603DBA" w:rsidP="00C602E4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</w:pPr>
      <w:r w:rsidRPr="006D6137">
        <w:t xml:space="preserve">salienta que, mesmo em tempos de pandemia de COVID-19, os Estados-Membros ainda estão obrigados a respeitar os valores da UE, incluindo o Estado de direito e a democracia, e a cumprir os Tratados da UE, a legislação da UE, bem como a Carta dos Direitos Fundamentais. Quaisquer medidas relacionadas com o estado de emergência, nomeadamente as que restringem a participação dos parlamentos ou as liberdades dos cidadãos, devem ser proporcionadas, limitadas no tempo e continuar sujeitas ao controlo democrático, respeitando simultaneamente os princípios da subsidiariedade e da governação a vários níveis; </w:t>
      </w:r>
    </w:p>
    <w:p w:rsidR="00B52928" w:rsidRPr="006D6137" w:rsidRDefault="00B52928" w:rsidP="00224405">
      <w:pPr>
        <w:suppressAutoHyphens/>
        <w:overflowPunct/>
        <w:adjustRightInd/>
        <w:ind w:left="567" w:hanging="567"/>
        <w:textAlignment w:val="auto"/>
      </w:pPr>
    </w:p>
    <w:p w:rsidR="00A25677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</w:pPr>
      <w:r w:rsidRPr="006D6137">
        <w:t xml:space="preserve">insiste no pleno respeito da legislação europeia em matéria de asilo. O acolhimento de novos requerentes de asilo deve continuar a ser possível e deve ocorrer em condições sanitárias adequadas. Deve ser dada especial atenção às pessoas mais vulneráveis, entre elas o grupo dos menores não acompanhados. A crise acentuou a necessidade urgente de uma reforma global do </w:t>
      </w:r>
      <w:r w:rsidRPr="006D6137">
        <w:lastRenderedPageBreak/>
        <w:t>quadro da UE em matéria de migração e asilo, que não deve, por isso, ser adiada devido à ênfase necessária colocada na resposta à crise sanitária e às suas repercussões económicas;</w:t>
      </w:r>
    </w:p>
    <w:p w:rsidR="00A25677" w:rsidRPr="006D6137" w:rsidRDefault="00A25677" w:rsidP="00A25677">
      <w:pPr>
        <w:pStyle w:val="ListParagraph"/>
        <w:suppressAutoHyphens/>
        <w:overflowPunct/>
        <w:adjustRightInd/>
        <w:ind w:left="567"/>
        <w:textAlignment w:val="auto"/>
      </w:pPr>
    </w:p>
    <w:p w:rsidR="00B52928" w:rsidRPr="006D6137" w:rsidRDefault="00A25677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</w:pPr>
      <w:r w:rsidRPr="006D6137">
        <w:t xml:space="preserve">observa que, em muitos Estados-Membros, os órgãos de poder local e regional desenvolveram boas práticas na utilização das ligações digitais à distância na tomada de decisões, e nomeadamente na organização do ensino durante a epidemia de COVID-19. É muito importante divulgar estas boas práticas por todos os Estados-Membros; </w:t>
      </w:r>
    </w:p>
    <w:p w:rsidR="00AA7388" w:rsidRPr="006D6137" w:rsidRDefault="00AA7388" w:rsidP="00AA7388">
      <w:pPr>
        <w:pStyle w:val="ListParagraph"/>
        <w:suppressAutoHyphens/>
        <w:overflowPunct/>
        <w:adjustRightInd/>
        <w:ind w:left="567"/>
        <w:textAlignment w:val="auto"/>
      </w:pPr>
    </w:p>
    <w:p w:rsidR="00AA7388" w:rsidRPr="006D6137" w:rsidRDefault="00AA7388" w:rsidP="00C53D8D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</w:pPr>
      <w:r w:rsidRPr="006D6137">
        <w:t xml:space="preserve">tendo em conta a situação financeira particularmente delicada e cada vez mais grave dos meios de comunicação social devido à redução abrupta ou à perda total de receitas da publicidade, bem como a situação especialmente difícil dos meios de comunicação social locais e regionais, considera que a existência de meios de comunicação social livres, independentes e com financiamento suficiente é fundamental para o bom funcionamento da democracia e para assegurar que os cidadãos são bem informados durante a crise. O livre fluxo de notícias independentes é mais importante do que nunca, tanto para informar o público sobre as medidas essenciais de contenção do vírus como para manter o escrutínio público e o debate sobre a adequação dessas medidas; </w:t>
      </w:r>
    </w:p>
    <w:p w:rsidR="00B52928" w:rsidRPr="006D6137" w:rsidRDefault="00B52928" w:rsidP="00224405">
      <w:pPr>
        <w:suppressAutoHyphens/>
        <w:overflowPunct/>
        <w:adjustRightInd/>
        <w:ind w:left="567"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</w:pPr>
      <w:r w:rsidRPr="006D6137">
        <w:t xml:space="preserve">considera que a crise atual reforça a necessidade de uma reflexão aprofundada sobre as políticas, as competências e o funcionamento geral da União Europeia. Por conseguinte, assim que a situação sanitária esteja sob controlo e logo que possível, cumpre convocar a Conferência sobre o Futuro da Europa, que deve permitir um diálogo direto com os cidadãos e os representantes regionais e locais sobre propostas diferentes relativas à forma de tornar a União Europeia mais eficaz, solidária, democrática e resistente. Os cidadãos esperam medidas fortes e solidariedade para dar resposta às consequências socioeconómicas devastadoras desta crise, que são necessárias para evitar reações de desencanto com o projeto de integração europeia; </w:t>
      </w:r>
    </w:p>
    <w:p w:rsidR="00B52928" w:rsidRPr="006D6137" w:rsidRDefault="00B52928" w:rsidP="00224405">
      <w:pPr>
        <w:suppressAutoHyphens/>
        <w:overflowPunct/>
        <w:adjustRightInd/>
        <w:ind w:left="567"/>
        <w:textAlignment w:val="auto"/>
      </w:pPr>
    </w:p>
    <w:p w:rsidR="00B52928" w:rsidRPr="006D6137" w:rsidRDefault="00603DBA" w:rsidP="00224405">
      <w:pPr>
        <w:pStyle w:val="ListParagraph"/>
        <w:numPr>
          <w:ilvl w:val="0"/>
          <w:numId w:val="5"/>
        </w:numPr>
        <w:suppressAutoHyphens/>
        <w:overflowPunct/>
        <w:adjustRightInd/>
        <w:textAlignment w:val="auto"/>
      </w:pPr>
      <w:r w:rsidRPr="006D6137">
        <w:t>encarrega o seu presidente de transmitir a presente declaração à Comissão Europeia, ao Parlamento Europeu, à Presidência croata do Conselho e ao presidente do Conselho Europeu.</w:t>
      </w:r>
    </w:p>
    <w:p w:rsidR="00B52928" w:rsidRPr="006D6137" w:rsidRDefault="00B52928" w:rsidP="00224405">
      <w:pPr>
        <w:suppressAutoHyphens/>
        <w:overflowPunct/>
        <w:adjustRightInd/>
        <w:textAlignment w:val="auto"/>
      </w:pPr>
    </w:p>
    <w:p w:rsidR="00B52928" w:rsidRPr="006D6137" w:rsidRDefault="00AC6A87" w:rsidP="00441439">
      <w:pPr>
        <w:suppressAutoHyphens/>
        <w:overflowPunct/>
        <w:adjustRightInd/>
        <w:textAlignment w:val="auto"/>
      </w:pPr>
      <w:r w:rsidRPr="006D6137">
        <w:t>Bruxelas, 8 de maio de 2020</w:t>
      </w:r>
    </w:p>
    <w:p w:rsidR="008645CB" w:rsidRPr="006D6137" w:rsidRDefault="008645CB" w:rsidP="00441439">
      <w:pPr>
        <w:suppressAutoHyphens/>
        <w:overflowPunct/>
        <w:adjustRightInd/>
        <w:textAlignment w:val="auto"/>
      </w:pPr>
    </w:p>
    <w:p w:rsidR="008645CB" w:rsidRPr="006D6137" w:rsidRDefault="008645CB" w:rsidP="00441439">
      <w:pPr>
        <w:suppressAutoHyphens/>
        <w:overflowPunct/>
        <w:adjustRightInd/>
        <w:textAlignment w:val="auto"/>
      </w:pPr>
    </w:p>
    <w:tbl>
      <w:tblPr>
        <w:tblW w:w="928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3C3443" w:rsidRPr="006D6137" w:rsidTr="003C3443">
        <w:trPr>
          <w:trHeight w:val="242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928" w:rsidRPr="006D6137" w:rsidRDefault="00AC6A87" w:rsidP="00224405">
            <w:pPr>
              <w:keepNext/>
              <w:suppressAutoHyphens/>
              <w:overflowPunct/>
              <w:adjustRightInd/>
              <w:jc w:val="center"/>
              <w:textAlignment w:val="auto"/>
              <w:rPr>
                <w:szCs w:val="22"/>
                <w:u w:color="000000"/>
                <w:bdr w:val="nil"/>
              </w:rPr>
            </w:pPr>
            <w:r w:rsidRPr="006D6137">
              <w:t>O Presidente</w:t>
            </w:r>
            <w:r w:rsidRPr="006D6137">
              <w:br/>
              <w:t>do Comité das Regiões Europeu</w:t>
            </w:r>
            <w:r w:rsidRPr="006D6137">
              <w:br/>
            </w:r>
            <w:r w:rsidRPr="006D6137">
              <w:br/>
            </w:r>
            <w:r w:rsidRPr="006D6137">
              <w:br/>
            </w:r>
            <w:r w:rsidRPr="006D6137">
              <w:br/>
            </w:r>
            <w:r w:rsidRPr="006D6137">
              <w:br/>
              <w:t>Apostolos Tzitzikostas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928" w:rsidRPr="006D6137" w:rsidRDefault="00B52928" w:rsidP="00224405">
            <w:pPr>
              <w:suppressAutoHyphens/>
              <w:overflowPunct/>
              <w:adjustRightInd/>
              <w:jc w:val="left"/>
              <w:textAlignment w:val="auto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</w:tbl>
    <w:p w:rsidR="00D8686C" w:rsidRPr="006D6137" w:rsidRDefault="00D8686C" w:rsidP="00224405">
      <w:pPr>
        <w:widowControl w:val="0"/>
        <w:suppressAutoHyphens/>
        <w:overflowPunct/>
        <w:adjustRightInd/>
        <w:ind w:left="646" w:hanging="646"/>
        <w:jc w:val="center"/>
        <w:textAlignment w:val="auto"/>
      </w:pPr>
      <w:r w:rsidRPr="006D6137">
        <w:t>______________</w:t>
      </w:r>
    </w:p>
    <w:sectPr w:rsidR="00D8686C" w:rsidRPr="006D6137" w:rsidSect="006D61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B3" w:rsidRDefault="00AA3CB3">
      <w:r>
        <w:separator/>
      </w:r>
    </w:p>
  </w:endnote>
  <w:endnote w:type="continuationSeparator" w:id="0">
    <w:p w:rsidR="00AA3CB3" w:rsidRDefault="00AA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37" w:rsidRPr="006D6137" w:rsidRDefault="006D6137" w:rsidP="006D6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65" w:rsidRPr="006D6137" w:rsidRDefault="006D6137" w:rsidP="006D6137">
    <w:pPr>
      <w:pStyle w:val="Footer"/>
    </w:pPr>
    <w:r>
      <w:t xml:space="preserve">COR-2020-01858-00-01-DECL-TRA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>
        <w:rPr>
          <w:noProof/>
        </w:rPr>
        <w:instrText>11</w:instrText>
      </w:r>
    </w:fldSimple>
    <w:r>
      <w:instrText xml:space="preserve"> -0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37" w:rsidRPr="006D6137" w:rsidRDefault="006D6137" w:rsidP="006D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B3" w:rsidRDefault="00AA3CB3">
      <w:r>
        <w:separator/>
      </w:r>
    </w:p>
  </w:footnote>
  <w:footnote w:type="continuationSeparator" w:id="0">
    <w:p w:rsidR="00AA3CB3" w:rsidRDefault="00AA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37" w:rsidRPr="006D6137" w:rsidRDefault="006D6137" w:rsidP="006D6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37" w:rsidRPr="006D6137" w:rsidRDefault="006D6137" w:rsidP="006D6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37" w:rsidRPr="006D6137" w:rsidRDefault="006D6137" w:rsidP="006D6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D11080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30576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E139B0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FA0277"/>
    <w:multiLevelType w:val="hybridMultilevel"/>
    <w:tmpl w:val="EFBE0416"/>
    <w:lvl w:ilvl="0" w:tplc="2FFA168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CD424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B80C78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CC1E8A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8E9DE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C49FA2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749B70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EA9F06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D44E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6462E2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E340A0D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FAA2256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1E2456A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28F1A84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1C6234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25F423F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43C49F0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767FF0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DE623B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EEF36B4"/>
    <w:multiLevelType w:val="singleLevel"/>
    <w:tmpl w:val="DB6654BC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F6D1352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E0429C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46B2B29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5814E72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2B3082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7D7732D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87D5E9D"/>
    <w:multiLevelType w:val="hybridMultilevel"/>
    <w:tmpl w:val="EFBE0416"/>
    <w:lvl w:ilvl="0" w:tplc="6ACC8F7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08B0F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381200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1A5048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B29FD6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2EC3E6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C7B3A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7E765C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DEBC3E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DF76842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F2C385C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5700B50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DCD64AC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F6C2555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09119AC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0977764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0E9339F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DF4330F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0CA7A0B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1D20D93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2366BFD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2E47DDC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5F41912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6966838"/>
    <w:multiLevelType w:val="singleLevel"/>
    <w:tmpl w:val="EFBE0416"/>
    <w:lvl w:ilvl="0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7061083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C136A95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FF43394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A84624C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B1A7677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B7D4916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ECC33AC"/>
    <w:multiLevelType w:val="singleLevel"/>
    <w:tmpl w:val="EFBE04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2"/>
  </w:num>
  <w:num w:numId="3">
    <w:abstractNumId w:val="22"/>
    <w:lvlOverride w:ilvl="0">
      <w:lvl w:ilvl="0" w:tplc="6ACC8F74">
        <w:start w:val="1"/>
        <w:numFmt w:val="decimal"/>
        <w:lvlText w:val="%1."/>
        <w:lvlJc w:val="left"/>
        <w:pPr>
          <w:tabs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08B0F8">
        <w:start w:val="1"/>
        <w:numFmt w:val="decimal"/>
        <w:lvlText w:val="%2."/>
        <w:lvlJc w:val="left"/>
        <w:pPr>
          <w:tabs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381200">
        <w:start w:val="1"/>
        <w:numFmt w:val="decimal"/>
        <w:lvlText w:val="%3."/>
        <w:lvlJc w:val="left"/>
        <w:pPr>
          <w:tabs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1A5048">
        <w:start w:val="1"/>
        <w:numFmt w:val="decimal"/>
        <w:lvlText w:val="%4."/>
        <w:lvlJc w:val="left"/>
        <w:pPr>
          <w:tabs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B29FD6">
        <w:start w:val="1"/>
        <w:numFmt w:val="decimal"/>
        <w:lvlText w:val="%5."/>
        <w:lvlJc w:val="left"/>
        <w:pPr>
          <w:tabs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2EC3E6">
        <w:start w:val="1"/>
        <w:numFmt w:val="decimal"/>
        <w:lvlText w:val="%6."/>
        <w:lvlJc w:val="left"/>
        <w:pPr>
          <w:tabs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AC7B3A">
        <w:start w:val="1"/>
        <w:numFmt w:val="decimal"/>
        <w:lvlText w:val="%7."/>
        <w:lvlJc w:val="left"/>
        <w:pPr>
          <w:tabs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7E765C">
        <w:start w:val="1"/>
        <w:numFmt w:val="decimal"/>
        <w:lvlText w:val="%8."/>
        <w:lvlJc w:val="left"/>
        <w:pPr>
          <w:tabs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DEBC3E">
        <w:start w:val="1"/>
        <w:numFmt w:val="decimal"/>
        <w:lvlText w:val="%9."/>
        <w:lvlJc w:val="left"/>
        <w:pPr>
          <w:tabs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5"/>
  </w:num>
  <w:num w:numId="6">
    <w:abstractNumId w:val="35"/>
  </w:num>
  <w:num w:numId="7">
    <w:abstractNumId w:val="13"/>
  </w:num>
  <w:num w:numId="8">
    <w:abstractNumId w:val="5"/>
  </w:num>
  <w:num w:numId="9">
    <w:abstractNumId w:val="37"/>
  </w:num>
  <w:num w:numId="10">
    <w:abstractNumId w:val="7"/>
  </w:num>
  <w:num w:numId="11">
    <w:abstractNumId w:val="18"/>
  </w:num>
  <w:num w:numId="12">
    <w:abstractNumId w:val="9"/>
  </w:num>
  <w:num w:numId="13">
    <w:abstractNumId w:val="10"/>
  </w:num>
  <w:num w:numId="14">
    <w:abstractNumId w:val="25"/>
  </w:num>
  <w:num w:numId="15">
    <w:abstractNumId w:val="30"/>
  </w:num>
  <w:num w:numId="16">
    <w:abstractNumId w:val="32"/>
  </w:num>
  <w:num w:numId="17">
    <w:abstractNumId w:val="34"/>
  </w:num>
  <w:num w:numId="18">
    <w:abstractNumId w:val="8"/>
  </w:num>
  <w:num w:numId="19">
    <w:abstractNumId w:val="6"/>
  </w:num>
  <w:num w:numId="20">
    <w:abstractNumId w:val="41"/>
  </w:num>
  <w:num w:numId="21">
    <w:abstractNumId w:val="38"/>
  </w:num>
  <w:num w:numId="22">
    <w:abstractNumId w:val="36"/>
  </w:num>
  <w:num w:numId="23">
    <w:abstractNumId w:val="33"/>
  </w:num>
  <w:num w:numId="24">
    <w:abstractNumId w:val="29"/>
  </w:num>
  <w:num w:numId="25">
    <w:abstractNumId w:val="39"/>
  </w:num>
  <w:num w:numId="26">
    <w:abstractNumId w:val="16"/>
  </w:num>
  <w:num w:numId="27">
    <w:abstractNumId w:val="42"/>
  </w:num>
  <w:num w:numId="28">
    <w:abstractNumId w:val="11"/>
  </w:num>
  <w:num w:numId="29">
    <w:abstractNumId w:val="14"/>
  </w:num>
  <w:num w:numId="30">
    <w:abstractNumId w:val="12"/>
  </w:num>
  <w:num w:numId="31">
    <w:abstractNumId w:val="44"/>
  </w:num>
  <w:num w:numId="32">
    <w:abstractNumId w:val="19"/>
  </w:num>
  <w:num w:numId="33">
    <w:abstractNumId w:val="43"/>
  </w:num>
  <w:num w:numId="34">
    <w:abstractNumId w:val="20"/>
  </w:num>
  <w:num w:numId="35">
    <w:abstractNumId w:val="21"/>
  </w:num>
  <w:num w:numId="36">
    <w:abstractNumId w:val="31"/>
  </w:num>
  <w:num w:numId="37">
    <w:abstractNumId w:val="26"/>
  </w:num>
  <w:num w:numId="38">
    <w:abstractNumId w:val="23"/>
  </w:num>
  <w:num w:numId="39">
    <w:abstractNumId w:val="24"/>
  </w:num>
  <w:num w:numId="40">
    <w:abstractNumId w:val="2"/>
  </w:num>
  <w:num w:numId="41">
    <w:abstractNumId w:val="40"/>
  </w:num>
  <w:num w:numId="42">
    <w:abstractNumId w:val="28"/>
  </w:num>
  <w:num w:numId="43">
    <w:abstractNumId w:val="27"/>
  </w:num>
  <w:num w:numId="44">
    <w:abstractNumId w:val="3"/>
  </w:num>
  <w:num w:numId="45">
    <w:abstractNumId w:val="1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28"/>
    <w:rsid w:val="000012A4"/>
    <w:rsid w:val="00025275"/>
    <w:rsid w:val="00042035"/>
    <w:rsid w:val="00076161"/>
    <w:rsid w:val="00095154"/>
    <w:rsid w:val="00095752"/>
    <w:rsid w:val="000B11CE"/>
    <w:rsid w:val="000B58E1"/>
    <w:rsid w:val="000B702B"/>
    <w:rsid w:val="000F154F"/>
    <w:rsid w:val="00114FDE"/>
    <w:rsid w:val="00172DCF"/>
    <w:rsid w:val="001765FE"/>
    <w:rsid w:val="00176B64"/>
    <w:rsid w:val="001E208A"/>
    <w:rsid w:val="00206367"/>
    <w:rsid w:val="00212A43"/>
    <w:rsid w:val="00224405"/>
    <w:rsid w:val="002304B9"/>
    <w:rsid w:val="00286EDB"/>
    <w:rsid w:val="002A4DBB"/>
    <w:rsid w:val="002B2DAD"/>
    <w:rsid w:val="002D52E6"/>
    <w:rsid w:val="0030103F"/>
    <w:rsid w:val="00316E8A"/>
    <w:rsid w:val="00331D5D"/>
    <w:rsid w:val="00374181"/>
    <w:rsid w:val="00383470"/>
    <w:rsid w:val="00393E4F"/>
    <w:rsid w:val="00395030"/>
    <w:rsid w:val="003C3443"/>
    <w:rsid w:val="003E5330"/>
    <w:rsid w:val="003F2357"/>
    <w:rsid w:val="0041423B"/>
    <w:rsid w:val="00421E72"/>
    <w:rsid w:val="00441439"/>
    <w:rsid w:val="00494FFC"/>
    <w:rsid w:val="00497AF5"/>
    <w:rsid w:val="004A1DA7"/>
    <w:rsid w:val="004A7CFB"/>
    <w:rsid w:val="004B2D23"/>
    <w:rsid w:val="00507C0D"/>
    <w:rsid w:val="005114F6"/>
    <w:rsid w:val="00511C65"/>
    <w:rsid w:val="005229E8"/>
    <w:rsid w:val="00554676"/>
    <w:rsid w:val="005624A6"/>
    <w:rsid w:val="00574E25"/>
    <w:rsid w:val="005823D9"/>
    <w:rsid w:val="00593DD5"/>
    <w:rsid w:val="005D559D"/>
    <w:rsid w:val="00603DBA"/>
    <w:rsid w:val="006056C3"/>
    <w:rsid w:val="00632DCF"/>
    <w:rsid w:val="006A39A5"/>
    <w:rsid w:val="006D6137"/>
    <w:rsid w:val="006F7D51"/>
    <w:rsid w:val="00717232"/>
    <w:rsid w:val="0072585B"/>
    <w:rsid w:val="00733128"/>
    <w:rsid w:val="00754E26"/>
    <w:rsid w:val="00756865"/>
    <w:rsid w:val="00773A13"/>
    <w:rsid w:val="00783FC9"/>
    <w:rsid w:val="007C63E8"/>
    <w:rsid w:val="00800570"/>
    <w:rsid w:val="00806F4A"/>
    <w:rsid w:val="008361F5"/>
    <w:rsid w:val="00854CBA"/>
    <w:rsid w:val="008645CB"/>
    <w:rsid w:val="00873FAD"/>
    <w:rsid w:val="008875A9"/>
    <w:rsid w:val="00897713"/>
    <w:rsid w:val="008E3F4F"/>
    <w:rsid w:val="009505B8"/>
    <w:rsid w:val="00962FBD"/>
    <w:rsid w:val="00997049"/>
    <w:rsid w:val="009B0D0D"/>
    <w:rsid w:val="009E26A3"/>
    <w:rsid w:val="009F200F"/>
    <w:rsid w:val="009F31B2"/>
    <w:rsid w:val="009F769E"/>
    <w:rsid w:val="00A11AC8"/>
    <w:rsid w:val="00A20599"/>
    <w:rsid w:val="00A234B4"/>
    <w:rsid w:val="00A25677"/>
    <w:rsid w:val="00AA3CB3"/>
    <w:rsid w:val="00AA7388"/>
    <w:rsid w:val="00AC6A87"/>
    <w:rsid w:val="00AD69AC"/>
    <w:rsid w:val="00AF62DB"/>
    <w:rsid w:val="00B16EF5"/>
    <w:rsid w:val="00B223BE"/>
    <w:rsid w:val="00B301A5"/>
    <w:rsid w:val="00B449FF"/>
    <w:rsid w:val="00B456B3"/>
    <w:rsid w:val="00B52928"/>
    <w:rsid w:val="00B75FD3"/>
    <w:rsid w:val="00B84C66"/>
    <w:rsid w:val="00B87627"/>
    <w:rsid w:val="00BD7E2E"/>
    <w:rsid w:val="00BF0B99"/>
    <w:rsid w:val="00C04AA7"/>
    <w:rsid w:val="00C16782"/>
    <w:rsid w:val="00C16800"/>
    <w:rsid w:val="00C23DC5"/>
    <w:rsid w:val="00C520BF"/>
    <w:rsid w:val="00C53D8D"/>
    <w:rsid w:val="00C602E4"/>
    <w:rsid w:val="00C63CB0"/>
    <w:rsid w:val="00C771E6"/>
    <w:rsid w:val="00C80C48"/>
    <w:rsid w:val="00C8425B"/>
    <w:rsid w:val="00CE4AF4"/>
    <w:rsid w:val="00CF3537"/>
    <w:rsid w:val="00CF55D2"/>
    <w:rsid w:val="00D27B3D"/>
    <w:rsid w:val="00D3226C"/>
    <w:rsid w:val="00D8686C"/>
    <w:rsid w:val="00DA68D1"/>
    <w:rsid w:val="00DB5E13"/>
    <w:rsid w:val="00DC716F"/>
    <w:rsid w:val="00DD2C12"/>
    <w:rsid w:val="00DE1D2F"/>
    <w:rsid w:val="00E14A93"/>
    <w:rsid w:val="00E162E3"/>
    <w:rsid w:val="00E25530"/>
    <w:rsid w:val="00E56B10"/>
    <w:rsid w:val="00E734A4"/>
    <w:rsid w:val="00E93CF9"/>
    <w:rsid w:val="00EA3133"/>
    <w:rsid w:val="00EB04D0"/>
    <w:rsid w:val="00ED55BD"/>
    <w:rsid w:val="00EF637C"/>
    <w:rsid w:val="00F07E1C"/>
    <w:rsid w:val="00F11FD0"/>
    <w:rsid w:val="00F14394"/>
    <w:rsid w:val="00F24769"/>
    <w:rsid w:val="00F24A8E"/>
    <w:rsid w:val="00F473B7"/>
    <w:rsid w:val="00F51515"/>
    <w:rsid w:val="00F73C48"/>
    <w:rsid w:val="00FD07F3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889C1B"/>
  <w15:docId w15:val="{BF347636-3176-40A1-BAF1-6A0D6EABB870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PT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  <w:sz w:val="22"/>
      <w:bdr w:val="none" w:sz="0" w:space="0" w:color="auto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4FDE"/>
    <w:pPr>
      <w:numPr>
        <w:numId w:val="4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14FDE"/>
    <w:pPr>
      <w:numPr>
        <w:ilvl w:val="1"/>
        <w:numId w:val="4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14FDE"/>
    <w:pPr>
      <w:numPr>
        <w:ilvl w:val="2"/>
        <w:numId w:val="4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14FDE"/>
    <w:pPr>
      <w:numPr>
        <w:ilvl w:val="3"/>
        <w:numId w:val="4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14FDE"/>
    <w:pPr>
      <w:numPr>
        <w:ilvl w:val="4"/>
        <w:numId w:val="4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14FDE"/>
    <w:pPr>
      <w:numPr>
        <w:ilvl w:val="5"/>
        <w:numId w:val="4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14FDE"/>
    <w:pPr>
      <w:numPr>
        <w:ilvl w:val="6"/>
        <w:numId w:val="4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14FDE"/>
    <w:pPr>
      <w:numPr>
        <w:ilvl w:val="7"/>
        <w:numId w:val="4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14FDE"/>
    <w:pPr>
      <w:numPr>
        <w:ilvl w:val="8"/>
        <w:numId w:val="4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603DBA"/>
    <w:pPr>
      <w:ind w:left="720"/>
      <w:contextualSpacing/>
    </w:pPr>
  </w:style>
  <w:style w:type="paragraph" w:styleId="Footer">
    <w:name w:val="footer"/>
    <w:basedOn w:val="Normal"/>
    <w:rsid w:val="00114FDE"/>
  </w:style>
  <w:style w:type="paragraph" w:styleId="Header">
    <w:name w:val="header"/>
    <w:basedOn w:val="Normal"/>
    <w:link w:val="HeaderChar"/>
    <w:rsid w:val="00114FDE"/>
  </w:style>
  <w:style w:type="character" w:customStyle="1" w:styleId="HeaderChar">
    <w:name w:val="Header Char"/>
    <w:basedOn w:val="DefaultParagraphFont"/>
    <w:link w:val="Header"/>
    <w:rsid w:val="007C63E8"/>
    <w:rPr>
      <w:rFonts w:eastAsia="Times New Roman"/>
      <w:sz w:val="22"/>
      <w:bdr w:val="none" w:sz="0" w:space="0" w:color="auto"/>
      <w:lang w:val="pt-PT" w:eastAsia="en-US"/>
    </w:rPr>
  </w:style>
  <w:style w:type="character" w:customStyle="1" w:styleId="Heading1Char">
    <w:name w:val="Heading 1 Char"/>
    <w:basedOn w:val="DefaultParagraphFont"/>
    <w:link w:val="Heading1"/>
    <w:rsid w:val="00114FDE"/>
    <w:rPr>
      <w:rFonts w:eastAsia="Times New Roman"/>
      <w:kern w:val="28"/>
      <w:sz w:val="22"/>
      <w:bdr w:val="none" w:sz="0" w:space="0" w:color="auto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114FDE"/>
    <w:rPr>
      <w:rFonts w:eastAsia="Times New Roman"/>
      <w:sz w:val="22"/>
      <w:bdr w:val="none" w:sz="0" w:space="0" w:color="auto"/>
      <w:lang w:val="pt-PT" w:eastAsia="en-US"/>
    </w:rPr>
  </w:style>
  <w:style w:type="character" w:customStyle="1" w:styleId="Heading3Char">
    <w:name w:val="Heading 3 Char"/>
    <w:basedOn w:val="DefaultParagraphFont"/>
    <w:link w:val="Heading3"/>
    <w:rsid w:val="00114FDE"/>
    <w:rPr>
      <w:rFonts w:eastAsia="Times New Roman"/>
      <w:sz w:val="22"/>
      <w:bdr w:val="none" w:sz="0" w:space="0" w:color="auto"/>
      <w:lang w:val="pt-PT" w:eastAsia="en-US"/>
    </w:rPr>
  </w:style>
  <w:style w:type="character" w:customStyle="1" w:styleId="Heading4Char">
    <w:name w:val="Heading 4 Char"/>
    <w:basedOn w:val="DefaultParagraphFont"/>
    <w:link w:val="Heading4"/>
    <w:rsid w:val="00114FDE"/>
    <w:rPr>
      <w:rFonts w:eastAsia="Times New Roman"/>
      <w:sz w:val="22"/>
      <w:bdr w:val="none" w:sz="0" w:space="0" w:color="auto"/>
      <w:lang w:val="pt-PT" w:eastAsia="en-US"/>
    </w:rPr>
  </w:style>
  <w:style w:type="character" w:customStyle="1" w:styleId="Heading5Char">
    <w:name w:val="Heading 5 Char"/>
    <w:basedOn w:val="DefaultParagraphFont"/>
    <w:link w:val="Heading5"/>
    <w:rsid w:val="00114FDE"/>
    <w:rPr>
      <w:rFonts w:eastAsia="Times New Roman"/>
      <w:sz w:val="22"/>
      <w:bdr w:val="none" w:sz="0" w:space="0" w:color="auto"/>
      <w:lang w:val="pt-PT" w:eastAsia="en-US"/>
    </w:rPr>
  </w:style>
  <w:style w:type="character" w:customStyle="1" w:styleId="Heading6Char">
    <w:name w:val="Heading 6 Char"/>
    <w:basedOn w:val="DefaultParagraphFont"/>
    <w:link w:val="Heading6"/>
    <w:rsid w:val="00114FDE"/>
    <w:rPr>
      <w:rFonts w:eastAsia="Times New Roman"/>
      <w:sz w:val="22"/>
      <w:bdr w:val="none" w:sz="0" w:space="0" w:color="auto"/>
      <w:lang w:val="pt-PT" w:eastAsia="en-US"/>
    </w:rPr>
  </w:style>
  <w:style w:type="character" w:customStyle="1" w:styleId="Heading7Char">
    <w:name w:val="Heading 7 Char"/>
    <w:basedOn w:val="DefaultParagraphFont"/>
    <w:link w:val="Heading7"/>
    <w:rsid w:val="00114FDE"/>
    <w:rPr>
      <w:rFonts w:eastAsia="Times New Roman"/>
      <w:sz w:val="22"/>
      <w:bdr w:val="none" w:sz="0" w:space="0" w:color="auto"/>
      <w:lang w:val="pt-PT" w:eastAsia="en-US"/>
    </w:rPr>
  </w:style>
  <w:style w:type="character" w:customStyle="1" w:styleId="Heading8Char">
    <w:name w:val="Heading 8 Char"/>
    <w:basedOn w:val="DefaultParagraphFont"/>
    <w:link w:val="Heading8"/>
    <w:rsid w:val="00114FDE"/>
    <w:rPr>
      <w:rFonts w:eastAsia="Times New Roman"/>
      <w:sz w:val="22"/>
      <w:bdr w:val="none" w:sz="0" w:space="0" w:color="auto"/>
      <w:lang w:val="pt-PT" w:eastAsia="en-US"/>
    </w:rPr>
  </w:style>
  <w:style w:type="character" w:customStyle="1" w:styleId="Heading9Char">
    <w:name w:val="Heading 9 Char"/>
    <w:basedOn w:val="DefaultParagraphFont"/>
    <w:link w:val="Heading9"/>
    <w:rsid w:val="00114FDE"/>
    <w:rPr>
      <w:rFonts w:eastAsia="Times New Roman"/>
      <w:sz w:val="22"/>
      <w:bdr w:val="none" w:sz="0" w:space="0" w:color="auto"/>
      <w:lang w:val="pt-PT" w:eastAsia="en-US"/>
    </w:rPr>
  </w:style>
  <w:style w:type="paragraph" w:styleId="FootnoteText">
    <w:name w:val="footnote text"/>
    <w:basedOn w:val="Normal"/>
    <w:link w:val="FootnoteTextChar"/>
    <w:rsid w:val="00114FD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14FDE"/>
    <w:rPr>
      <w:rFonts w:eastAsia="Times New Roman"/>
      <w:sz w:val="16"/>
      <w:bdr w:val="none" w:sz="0" w:space="0" w:color="auto"/>
      <w:lang w:val="pt-PT" w:eastAsia="en-US"/>
    </w:rPr>
  </w:style>
  <w:style w:type="character" w:styleId="FootnoteReference">
    <w:name w:val="footnote reference"/>
    <w:basedOn w:val="DefaultParagraphFont"/>
    <w:semiHidden/>
    <w:rsid w:val="00114FDE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3T5AXJEHYTWU-518926207-3665</_dlc_DocId>
    <_dlc_DocIdUrl xmlns="61ca3f1a-19f4-461d-a43b-0b5ad97b08be">
      <Url>http://dm2016/cor/2020/_layouts/15/DocIdRedir.aspx?ID=3T5AXJEHYTWU-518926207-3665</Url>
      <Description>3T5AXJEHYTWU-518926207-3665</Description>
    </_dlc_DocIdUrl>
    <TaxCatchAll xmlns="61ca3f1a-19f4-461d-a43b-0b5ad97b08be">
      <Value>36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Portuguese</TermName>
          <TermId xmlns="http://schemas.microsoft.com/office/infopath/2007/PartnerControls">b3ee7f9c-556c-4963-a74e-534cd969ca49</TermId>
        </TermInfo>
      </Terms>
    </p2fcf63a50b541b9841bb70f49df331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0604CEAC7118214B861BD5C8C8E15446" ma:contentTypeVersion="4" ma:contentTypeDescription="Create a new document." ma:contentTypeScope="" ma:versionID="e22738654091930a763a5383c37a852b">
  <xsd:schema xmlns:xsd="http://www.w3.org/2001/XMLSchema" xmlns:xs="http://www.w3.org/2001/XMLSchema" xmlns:p="http://schemas.microsoft.com/office/2006/metadata/properties" xmlns:ns2="61ca3f1a-19f4-461d-a43b-0b5ad97b08be" targetNamespace="http://schemas.microsoft.com/office/2006/metadata/properties" ma:root="true" ma:fieldsID="a3f924730a0d153f3c9d2212cc8bae41" ns2:_=""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7A073-6CD0-43AE-AB03-107ABB1AFD53}"/>
</file>

<file path=customXml/itemProps2.xml><?xml version="1.0" encoding="utf-8"?>
<ds:datastoreItem xmlns:ds="http://schemas.openxmlformats.org/officeDocument/2006/customXml" ds:itemID="{DC5C48F6-D506-45DC-A84E-7B6478653DC8}"/>
</file>

<file path=customXml/itemProps3.xml><?xml version="1.0" encoding="utf-8"?>
<ds:datastoreItem xmlns:ds="http://schemas.openxmlformats.org/officeDocument/2006/customXml" ds:itemID="{3F168B86-2362-43D5-A554-E21EAFAB5264}"/>
</file>

<file path=customXml/itemProps4.xml><?xml version="1.0" encoding="utf-8"?>
<ds:datastoreItem xmlns:ds="http://schemas.openxmlformats.org/officeDocument/2006/customXml" ds:itemID="{156C1F1E-7E87-4291-9F40-B5CC1F5FC241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10</TotalTime>
  <Pages>11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the European Committee of the Regions on "local and regional authorities as ac-tors of the European response to the COVID-19 crisis"</vt:lpstr>
    </vt:vector>
  </TitlesOfParts>
  <Company>EESC-ECOR</Company>
  <LinksUpToDate>false</LinksUpToDate>
  <CharactersWithSpaces>32261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do Comité das Regiões Europeu  Os órgãos de poder local e regional enquanto intervenientes na resposta europeia à crise da COVID-19</dc:title>
  <dc:creator>Canoto Argüelles Juan Carlos</dc:creator>
  <cp:keywords>COR-2020-01858-00-01-DECL-TRA-EN</cp:keywords>
  <dc:description>Rapporteur:  - Original language: EN - Date of document: 11/05/2020 - Date of meeting:  - External documents:  - Administrator: M. CAÑOTO ARGÜELLES Juan Carlos</dc:description>
  <cp:lastModifiedBy>Matias Encarnacao</cp:lastModifiedBy>
  <cp:revision>12</cp:revision>
  <dcterms:created xsi:type="dcterms:W3CDTF">2020-05-11T15:28:00Z</dcterms:created>
  <dcterms:modified xsi:type="dcterms:W3CDTF">2020-05-11T18:33:00Z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11/05/2020, 06/05/2020, 06/05/2020, 06/05/2020, 06/05/2020, 22/04/2020, 20/04/2020</vt:lpwstr>
  </property>
  <property fmtid="{D5CDD505-2E9C-101B-9397-08002B2CF9AE}" pid="4" name="Pref_Time">
    <vt:lpwstr>17:28:28, 17:02:40, 11:15:36, 09:33:31, 09:23:29, 09:47:12, 09:19:53</vt:lpwstr>
  </property>
  <property fmtid="{D5CDD505-2E9C-101B-9397-08002B2CF9AE}" pid="5" name="Pref_User">
    <vt:lpwstr>mkop, mkop, amett, hnic, YMUR, hnic, amett</vt:lpwstr>
  </property>
  <property fmtid="{D5CDD505-2E9C-101B-9397-08002B2CF9AE}" pid="6" name="Pref_FileName">
    <vt:lpwstr>COR-2020-01858-00-01-DECL-ORI.docx, COR-2020-01923-01-01-PRES-ORI.docx, COR-2020-01923-01-00-PRES-ORI.docx, COR-2020-01923-01-00-PRES-TRA-EN-CRR.docx, COR-2020-01923-01-00-PRES-CRR-EN.docx, COR-2020-01923-00-00-PRES-ORI.docx, COR-2020-01858-00-00-DECL-ORI</vt:lpwstr>
  </property>
  <property fmtid="{D5CDD505-2E9C-101B-9397-08002B2CF9AE}" pid="7" name="ContentTypeId">
    <vt:lpwstr>0x0101000E48EF7EAB68C94FAFBCC7BAE1C760BE000604CEAC7118214B861BD5C8C8E15446</vt:lpwstr>
  </property>
  <property fmtid="{D5CDD505-2E9C-101B-9397-08002B2CF9AE}" pid="8" name="_dlc_DocIdItemGuid">
    <vt:lpwstr>608cb068-c6e2-443f-ad46-23ed6b76b033</vt:lpwstr>
  </property>
  <property fmtid="{D5CDD505-2E9C-101B-9397-08002B2CF9AE}" pid="9" name="AvailableTranslations">
    <vt:lpwstr>23;#DE|f6b31e5a-26fa-4935-b661-318e46daf27e;#35;#PT|50ccc04a-eadd-42ae-a0cb-acaf45f812ba;#26;#SL|98a412ae-eb01-49e9-ae3d-585a81724cfc;#14;#MT|7df99101-6854-4a26-b53a-b88c0da02c26;#34;#CS|72f9705b-0217-4fd3-bea2-cbc7ed80e26e;#17;#PL|1e03da61-4678-4e07-b136-b5024ca9197b;#7;#EN|f2175f21-25d7-44a3-96da-d6a61b075e1b;#25;#ET|ff6c3f4c-b02c-4c3c-ab07-2c37995a7a0a;#30;#DA|5d49c027-8956-412b-aa16-e85a0f96ad0e;#13;#HR|2f555653-ed1a-4fe6-8362-9082d95989e5;#37;#BG|1a1b3951-7821-4e6a-85f5-5673fc08bd2c;#18;#NL|55c6556c-b4f4-441d-9acf-c498d4f838bd;#29;#SV|c2ed69e7-a339-43d7-8f22-d93680a92aa0;#38;#RO|feb747a2-64cd-4299-af12-4833ddc30497;#12;#EL|6d4f4d51-af9b-4650-94b4-4276bee85c91;#15;#SK|46d9fce0-ef79-4f71-b89b-cd6aa82426b8;#31;#LV|46f7e311-5d9f-4663-b433-18aeccb7ace7;#36;#FI|87606a43-d45f-42d6-b8c9-e1a3457db5b7;#19;#LT|a7ff5ce7-6123-4f68-865a-a57c31810414;#11;#IT|0774613c-01ed-4e5d-a25d-11d2388de825;#16;#ES|e7a6b05b-ae16-40c8-add9-68b64b03aeba;#27;#HU|6b229040-c589-4408-b4c1-4285663d20a8;#4;#FR|d2afafd3-4c81-4f60-8f52-ee33f2f54ff3</vt:lpwstr>
  </property>
  <property fmtid="{D5CDD505-2E9C-101B-9397-08002B2CF9AE}" pid="10" name="DocumentType_0">
    <vt:lpwstr>DECL|3e2492ed-4ef9-4eb0-bb74-05f60f74f0a3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1858</vt:i4>
  </property>
  <property fmtid="{D5CDD505-2E9C-101B-9397-08002B2CF9AE}" pid="14" name="FicheYear">
    <vt:i4>2020</vt:i4>
  </property>
  <property fmtid="{D5CDD505-2E9C-101B-9397-08002B2CF9AE}" pid="15" name="DocumentVersion">
    <vt:i4>1</vt:i4>
  </property>
  <property fmtid="{D5CDD505-2E9C-101B-9397-08002B2CF9AE}" pid="16" name="DocumentStatus">
    <vt:lpwstr>8;#TRA|150d2a88-1431-44e6-a8ca-0bb753ab8672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1" name="DocumentType">
    <vt:lpwstr>87;#DECL|3e2492ed-4ef9-4eb0-bb74-05f60f74f0a3</vt:lpwstr>
  </property>
  <property fmtid="{D5CDD505-2E9C-101B-9397-08002B2CF9AE}" pid="22" name="RequestingService">
    <vt:lpwstr>Direction A - Membres et sessions plénières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7;#EN|f2175f21-25d7-44a3-96da-d6a61b075e1b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EN|f2175f21-25d7-44a3-96da-d6a61b075e1b;EL|6d4f4d51-af9b-4650-94b4-4276bee85c91;IT|0774613c-01ed-4e5d-a25d-11d2388de825;ES|e7a6b05b-ae16-40c8-add9-68b64b03aeba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7;#English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2020</vt:i4>
  </property>
  <property fmtid="{D5CDD505-2E9C-101B-9397-08002B2CF9AE}" pid="36" name="FicheNumber">
    <vt:i4>4428</vt:i4>
  </property>
  <property fmtid="{D5CDD505-2E9C-101B-9397-08002B2CF9AE}" pid="37" name="DocumentLanguage">
    <vt:lpwstr>35;#PT|50ccc04a-eadd-42ae-a0cb-acaf45f812ba</vt:lpwstr>
  </property>
  <property fmtid="{D5CDD505-2E9C-101B-9397-08002B2CF9AE}" pid="38" name="_docset_NoMedatataSyncRequired">
    <vt:lpwstr>False</vt:lpwstr>
  </property>
  <property fmtid="{D5CDD505-2E9C-101B-9397-08002B2CF9AE}" pid="39" name="p2fcf63a50b541b9841bb70f49df3317">
    <vt:lpwstr>English|bdbee8c7-072c-4a33-ae34-5b1e06637655</vt:lpwstr>
  </property>
  <property fmtid="{D5CDD505-2E9C-101B-9397-08002B2CF9AE}" pid="40" name="CoR_Language">
    <vt:lpwstr>36;#Portuguese|b3ee7f9c-556c-4963-a74e-534cd969ca49</vt:lpwstr>
  </property>
</Properties>
</file>