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C137AE">
        <w:tc>
          <w:tcPr>
            <w:tcW w:w="4728" w:type="dxa"/>
          </w:tcPr>
          <w:p w:rsidR="00BB3CA2" w:rsidRPr="00C137AE" w:rsidRDefault="00263090" w:rsidP="00D80169">
            <w:pPr>
              <w:rPr>
                <w:rFonts w:eastAsia="Arial Unicode MS"/>
                <w:szCs w:val="22"/>
              </w:rPr>
            </w:pPr>
            <w:r w:rsidRPr="00C137AE">
              <w:rPr>
                <w:b/>
                <w:bCs/>
                <w:noProof/>
                <w:sz w:val="32"/>
                <w:lang w:val="en-US" w:eastAsia="en-US" w:bidi="ar-SA"/>
              </w:rPr>
              <w:drawing>
                <wp:inline distT="0" distB="0" distL="0" distR="0" wp14:anchorId="50C96583" wp14:editId="59482A7B">
                  <wp:extent cx="1876425" cy="755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C137AE" w:rsidRDefault="00BB3CA2" w:rsidP="00D80169">
            <w:pPr>
              <w:rPr>
                <w:szCs w:val="22"/>
              </w:rPr>
            </w:pPr>
          </w:p>
        </w:tc>
        <w:tc>
          <w:tcPr>
            <w:tcW w:w="3525" w:type="dxa"/>
          </w:tcPr>
          <w:p w:rsidR="00BB3CA2" w:rsidRPr="00C137AE" w:rsidRDefault="00BB3CA2" w:rsidP="00D80169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6322EE" w:rsidRDefault="006322EE" w:rsidP="006322EE">
      <w:pPr>
        <w:spacing w:line="240" w:lineRule="auto"/>
        <w:jc w:val="center"/>
        <w:rPr>
          <w:b/>
        </w:rPr>
      </w:pPr>
    </w:p>
    <w:p w:rsidR="006322EE" w:rsidRDefault="006322EE" w:rsidP="006322EE">
      <w:pPr>
        <w:spacing w:line="240" w:lineRule="auto"/>
        <w:jc w:val="center"/>
        <w:rPr>
          <w:b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Arial" w:hAnsi="Arial"/>
          <w:b/>
          <w:sz w:val="48"/>
          <w:szCs w:val="22"/>
          <w:lang w:val="fr-FR" w:eastAsia="en-US" w:bidi="ar-SA"/>
        </w:rPr>
      </w:pPr>
    </w:p>
    <w:p w:rsidR="006322EE" w:rsidRPr="00C137A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szCs w:val="22"/>
        </w:rPr>
      </w:pPr>
      <w:r w:rsidRPr="006322EE">
        <w:rPr>
          <w:rFonts w:ascii="Arial" w:hAnsi="Arial"/>
          <w:b/>
          <w:sz w:val="48"/>
          <w:szCs w:val="22"/>
          <w:lang w:val="fr-FR" w:eastAsia="en-US" w:bidi="ar-SA"/>
        </w:rPr>
        <w:t>COLLEGARE LE REGIONI E LE CITTÀ PER UN'EUROPA PIÙ FORTE</w:t>
      </w:r>
    </w:p>
    <w:p w:rsidR="006322EE" w:rsidRPr="00C137AE" w:rsidRDefault="006322EE" w:rsidP="006322EE">
      <w:pPr>
        <w:spacing w:line="240" w:lineRule="auto"/>
        <w:jc w:val="center"/>
        <w:rPr>
          <w:b/>
          <w:szCs w:val="22"/>
        </w:rPr>
      </w:pPr>
    </w:p>
    <w:p w:rsidR="006322EE" w:rsidRPr="00C137AE" w:rsidRDefault="006322EE" w:rsidP="006322EE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caps/>
          <w:szCs w:val="22"/>
        </w:rPr>
      </w:pPr>
      <w:r w:rsidRPr="006322EE">
        <w:rPr>
          <w:rFonts w:ascii="Arial" w:hAnsi="Arial"/>
          <w:b/>
          <w:szCs w:val="22"/>
          <w:lang w:val="fr-FR" w:eastAsia="en-US" w:bidi="ar-SA"/>
        </w:rPr>
        <w:t>PIANO DI COMUNICAZIONE PER IL 2016</w:t>
      </w: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6322EE" w:rsidRDefault="006322EE" w:rsidP="00D80169">
      <w:pPr>
        <w:rPr>
          <w:szCs w:val="22"/>
        </w:rPr>
      </w:pPr>
    </w:p>
    <w:p w:rsidR="00BB3CA2" w:rsidRPr="00C137AE" w:rsidRDefault="00F06EC8" w:rsidP="00D80169">
      <w:pPr>
        <w:rPr>
          <w:szCs w:val="22"/>
        </w:rPr>
      </w:pPr>
      <w:r w:rsidRPr="00C137AE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FD34295" wp14:editId="46AE3109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2" w:rsidRPr="00263090" w:rsidRDefault="00BB3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263090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B3CA2" w:rsidRPr="00263090" w:rsidRDefault="00BB3C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263090">
                        <w:rPr>
                          <w:rFonts w:ascii="Arial" w:hAnsi="Arial"/>
                          <w:b/>
                          <w:sz w:val="48"/>
                        </w:rPr>
                        <w:t>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1931" w:rsidRPr="001F131C" w:rsidRDefault="00601931" w:rsidP="001F131C">
      <w:pPr>
        <w:pStyle w:val="Heading1"/>
        <w:spacing w:line="240" w:lineRule="auto"/>
        <w:rPr>
          <w:b/>
          <w:szCs w:val="22"/>
        </w:rPr>
      </w:pPr>
      <w:bookmarkStart w:id="0" w:name="_GoBack"/>
      <w:proofErr w:type="gramStart"/>
      <w:r w:rsidRPr="001F131C">
        <w:rPr>
          <w:b/>
          <w:szCs w:val="22"/>
        </w:rPr>
        <w:lastRenderedPageBreak/>
        <w:t>Contesto</w:t>
      </w:r>
      <w:proofErr w:type="gramEnd"/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Nella sua </w:t>
      </w:r>
      <w:hyperlink r:id="rId13">
        <w:r w:rsidR="00263090" w:rsidRPr="001F131C">
          <w:rPr>
            <w:rStyle w:val="Hyperlink"/>
            <w:b/>
            <w:color w:val="auto"/>
            <w:szCs w:val="22"/>
          </w:rPr>
          <w:t>Strategia</w:t>
        </w:r>
        <w:r w:rsidRPr="001F131C">
          <w:rPr>
            <w:rStyle w:val="Hyperlink"/>
            <w:b/>
            <w:color w:val="auto"/>
            <w:szCs w:val="22"/>
          </w:rPr>
          <w:t xml:space="preserve"> di comunicazione per il periodo 2015-2020</w:t>
        </w:r>
      </w:hyperlink>
      <w:r w:rsidRPr="001F131C">
        <w:rPr>
          <w:szCs w:val="22"/>
        </w:rPr>
        <w:t>,</w:t>
      </w:r>
      <w:r w:rsidR="00263090" w:rsidRPr="001F131C">
        <w:rPr>
          <w:szCs w:val="22"/>
        </w:rPr>
        <w:t xml:space="preserve"> </w:t>
      </w:r>
      <w:r w:rsidRPr="001F131C">
        <w:rPr>
          <w:szCs w:val="22"/>
        </w:rPr>
        <w:t>il Comitato europeo delle regioni (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) ha evidenziato il bisogno di riavvicinare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Europa ai suoi cittadini adottando una strategia mirata di comunicazione bidirezionale tra gli enti locali e regionali e le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UE, e rafforzando la cooperazione con la Commissione europea, il Parlamento europeo e il Consiglio. 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 due principali </w:t>
      </w:r>
      <w:r w:rsidRPr="001F131C">
        <w:rPr>
          <w:b/>
          <w:szCs w:val="22"/>
        </w:rPr>
        <w:t>gruppi destinatari</w:t>
      </w:r>
      <w:r w:rsidRPr="001F131C">
        <w:rPr>
          <w:szCs w:val="22"/>
        </w:rPr>
        <w:t xml:space="preserve"> delle attività di comunicazione </w:t>
      </w:r>
      <w:proofErr w:type="gramStart"/>
      <w:r w:rsidRPr="001F131C">
        <w:rPr>
          <w:szCs w:val="22"/>
        </w:rPr>
        <w:t>del</w:t>
      </w:r>
      <w:proofErr w:type="gramEnd"/>
      <w:r w:rsidRPr="001F131C">
        <w:rPr>
          <w:szCs w:val="22"/>
        </w:rPr>
        <w:t xml:space="preserve">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sono gli enti locali e regionali d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Europa e i responsabili decisionali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interno delle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UE. L</w:t>
      </w:r>
      <w:r w:rsidR="00263090" w:rsidRPr="001F131C">
        <w:rPr>
          <w:szCs w:val="22"/>
        </w:rPr>
        <w:t>'</w:t>
      </w:r>
      <w:r w:rsidRPr="001F131C">
        <w:rPr>
          <w:b/>
          <w:szCs w:val="22"/>
        </w:rPr>
        <w:t>obiettivo</w:t>
      </w:r>
      <w:r w:rsidRPr="001F131C">
        <w:rPr>
          <w:szCs w:val="22"/>
        </w:rPr>
        <w:t xml:space="preserve"> della comunicazione è sostenere, attraverso un approccio inclusivo e strategico, il lavoro politico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come </w:t>
      </w:r>
      <w:proofErr w:type="gramStart"/>
      <w:r w:rsidRPr="001F131C">
        <w:rPr>
          <w:szCs w:val="22"/>
        </w:rPr>
        <w:t>componente</w:t>
      </w:r>
      <w:proofErr w:type="gramEnd"/>
      <w:r w:rsidRPr="001F131C">
        <w:rPr>
          <w:szCs w:val="22"/>
        </w:rPr>
        <w:t xml:space="preserve"> integrato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intero processo di orientamento delle politiche e rafforzare il ruolo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nel difendere la coesione territoriale e il coinvolgimento dei cittadini nell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UE. Attraverso la sua comunicazione, il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dà voce alle esigenze e alle preoccupazioni delle regioni e delle città, utilizza questo contributo per alimentare i lavori legislativi, e formula messaggi politici forti diretti al Parlamento europeo, al Consiglio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 e alla Commissione europea.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La strategia riconosce che i </w:t>
      </w:r>
      <w:r w:rsidRPr="001F131C">
        <w:rPr>
          <w:b/>
          <w:szCs w:val="22"/>
        </w:rPr>
        <w:t xml:space="preserve">membri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szCs w:val="22"/>
        </w:rPr>
        <w:t xml:space="preserve"> svolgono un ruolo chiave nel comunicare l'Europa attraverso le loro attività politiche e mira a sviluppare una duplice "rete di reti": in primo luogo, per </w:t>
      </w:r>
      <w:r w:rsidRPr="001F131C">
        <w:rPr>
          <w:b/>
          <w:szCs w:val="22"/>
        </w:rPr>
        <w:t>integrare e migliorare l</w:t>
      </w:r>
      <w:r w:rsidR="00263090" w:rsidRPr="001F131C">
        <w:rPr>
          <w:b/>
          <w:szCs w:val="22"/>
        </w:rPr>
        <w:t>'</w:t>
      </w:r>
      <w:r w:rsidRPr="001F131C">
        <w:rPr>
          <w:b/>
          <w:szCs w:val="22"/>
        </w:rPr>
        <w:t>accessibilità</w:t>
      </w:r>
      <w:r w:rsidRPr="001F131C">
        <w:rPr>
          <w:szCs w:val="22"/>
        </w:rPr>
        <w:t xml:space="preserve"> ai mezzi e agli strumenti di comunicazione esistenti, attraverso un migliore coordinamento, a livello delle istituzioni UE; in secondo luogo, per raggiungere </w:t>
      </w:r>
      <w:proofErr w:type="gramStart"/>
      <w:r w:rsidRPr="001F131C">
        <w:rPr>
          <w:szCs w:val="22"/>
        </w:rPr>
        <w:t>questo</w:t>
      </w:r>
      <w:proofErr w:type="gramEnd"/>
      <w:r w:rsidRPr="001F131C">
        <w:rPr>
          <w:szCs w:val="22"/>
        </w:rPr>
        <w:t xml:space="preserve"> obiettivo mediante una </w:t>
      </w:r>
      <w:r w:rsidRPr="001F131C">
        <w:rPr>
          <w:b/>
          <w:szCs w:val="22"/>
        </w:rPr>
        <w:t xml:space="preserve">nuova interfaccia per i membri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szCs w:val="22"/>
        </w:rPr>
        <w:t>, coinvolgendoli nelle reti locali e nelle attività di comunicazione degli Uffici d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informazione del Parlamento europeo, delle rappresentanze della Commissione europea e dei centri d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informazione Europe Direct negli Stati membri, nonché degli enti locali e regionali e delle loro associazioni.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La strategia quinquennale sarà attuata attraverso i </w:t>
      </w:r>
      <w:r w:rsidRPr="001F131C">
        <w:rPr>
          <w:b/>
          <w:szCs w:val="22"/>
        </w:rPr>
        <w:t>piani annuali di comunicazione</w:t>
      </w:r>
      <w:r w:rsidRPr="001F131C">
        <w:rPr>
          <w:szCs w:val="22"/>
        </w:rPr>
        <w:t xml:space="preserve"> che definiscono un numero limitato di priorità </w:t>
      </w:r>
      <w:proofErr w:type="gramStart"/>
      <w:r w:rsidRPr="001F131C">
        <w:rPr>
          <w:szCs w:val="22"/>
        </w:rPr>
        <w:t>tematiche</w:t>
      </w:r>
      <w:proofErr w:type="gramEnd"/>
      <w:r w:rsidRPr="001F131C">
        <w:rPr>
          <w:szCs w:val="22"/>
        </w:rPr>
        <w:t xml:space="preserve">, che riflettono le priorità politiche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le priorità tematiche delle sue commissioni e le attività di comunicazione dei gruppi politici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nonché quelle definite nel quadro della cooperazione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con le altre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UE, ossia il Parlamento europeo e la Commissione europea.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Heading1"/>
        <w:keepNext/>
        <w:keepLines/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Comunicazione sulle priorità politiche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b/>
          <w:szCs w:val="22"/>
        </w:rPr>
        <w:t xml:space="preserve"> per il periodo 2015-2020</w:t>
      </w:r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  <w:r w:rsidRPr="001F131C">
        <w:rPr>
          <w:szCs w:val="22"/>
        </w:rPr>
        <w:t xml:space="preserve">Le attività di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rifletteranno le </w:t>
      </w:r>
      <w:r w:rsidRPr="001F131C">
        <w:rPr>
          <w:b/>
          <w:szCs w:val="22"/>
        </w:rPr>
        <w:t>cinque</w:t>
      </w:r>
      <w:r w:rsidRPr="001F131C">
        <w:rPr>
          <w:szCs w:val="22"/>
        </w:rPr>
        <w:t xml:space="preserve"> priorità politiche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szCs w:val="22"/>
        </w:rPr>
        <w:t xml:space="preserve"> 2015-2020, adottate nel giugno 2015:</w:t>
      </w:r>
    </w:p>
    <w:p w:rsidR="004115F8" w:rsidRPr="001F131C" w:rsidRDefault="004115F8" w:rsidP="001F131C">
      <w:pPr>
        <w:keepNext/>
        <w:keepLines/>
        <w:spacing w:line="240" w:lineRule="auto"/>
        <w:rPr>
          <w:szCs w:val="22"/>
        </w:rPr>
      </w:pPr>
    </w:p>
    <w:p w:rsidR="00601931" w:rsidRPr="001F131C" w:rsidRDefault="00601931" w:rsidP="001F131C">
      <w:pPr>
        <w:keepNext/>
        <w:keepLines/>
        <w:spacing w:line="240" w:lineRule="auto"/>
        <w:ind w:left="720"/>
        <w:rPr>
          <w:szCs w:val="22"/>
        </w:rPr>
      </w:pPr>
      <w:r w:rsidRPr="001F131C">
        <w:rPr>
          <w:szCs w:val="22"/>
        </w:rPr>
        <w:t xml:space="preserve">1) Un </w:t>
      </w:r>
      <w:proofErr w:type="gramStart"/>
      <w:r w:rsidRPr="001F131C">
        <w:rPr>
          <w:szCs w:val="22"/>
        </w:rPr>
        <w:t>nuovo inizio</w:t>
      </w:r>
      <w:proofErr w:type="gramEnd"/>
      <w:r w:rsidRPr="001F131C">
        <w:rPr>
          <w:szCs w:val="22"/>
        </w:rPr>
        <w:t xml:space="preserve"> per l'economia europea</w:t>
      </w:r>
    </w:p>
    <w:p w:rsidR="00601931" w:rsidRPr="001F131C" w:rsidRDefault="00601931" w:rsidP="001F131C">
      <w:pPr>
        <w:keepNext/>
        <w:keepLines/>
        <w:spacing w:line="240" w:lineRule="auto"/>
        <w:ind w:left="720"/>
        <w:rPr>
          <w:szCs w:val="22"/>
        </w:rPr>
      </w:pPr>
      <w:r w:rsidRPr="001F131C">
        <w:rPr>
          <w:szCs w:val="22"/>
        </w:rPr>
        <w:t>2) La dimensione territoriale della legislazione dell'UE è importante</w:t>
      </w:r>
    </w:p>
    <w:p w:rsidR="00601931" w:rsidRPr="001F131C" w:rsidRDefault="00601931" w:rsidP="001F131C">
      <w:pPr>
        <w:keepNext/>
        <w:keepLines/>
        <w:spacing w:line="240" w:lineRule="auto"/>
        <w:ind w:left="720"/>
        <w:rPr>
          <w:szCs w:val="22"/>
        </w:rPr>
      </w:pPr>
      <w:r w:rsidRPr="001F131C">
        <w:rPr>
          <w:szCs w:val="22"/>
        </w:rPr>
        <w:t>3) Un'Europa più semplice e più collegata</w:t>
      </w:r>
    </w:p>
    <w:p w:rsidR="00601931" w:rsidRPr="001F131C" w:rsidRDefault="00601931" w:rsidP="001F131C">
      <w:pPr>
        <w:keepNext/>
        <w:keepLines/>
        <w:spacing w:line="240" w:lineRule="auto"/>
        <w:ind w:left="720"/>
        <w:rPr>
          <w:szCs w:val="22"/>
        </w:rPr>
      </w:pPr>
      <w:r w:rsidRPr="001F131C">
        <w:rPr>
          <w:szCs w:val="22"/>
        </w:rPr>
        <w:t>4) Stabilità e cooperazione all'interno e al di fuori dell'Unione europea</w:t>
      </w:r>
    </w:p>
    <w:p w:rsidR="00601931" w:rsidRPr="001F131C" w:rsidRDefault="00601931" w:rsidP="001F131C">
      <w:pPr>
        <w:keepNext/>
        <w:keepLines/>
        <w:spacing w:line="240" w:lineRule="auto"/>
        <w:ind w:left="720"/>
        <w:rPr>
          <w:szCs w:val="22"/>
        </w:rPr>
      </w:pPr>
      <w:r w:rsidRPr="001F131C">
        <w:rPr>
          <w:szCs w:val="22"/>
        </w:rPr>
        <w:t>5) L'Europa dei cittadini è l'Europa del futuro.</w:t>
      </w:r>
    </w:p>
    <w:p w:rsidR="00601931" w:rsidRPr="001F131C" w:rsidRDefault="00601931" w:rsidP="001F131C">
      <w:pPr>
        <w:spacing w:line="240" w:lineRule="auto"/>
        <w:rPr>
          <w:i/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La direzione Comunicazione garantirà una </w:t>
      </w:r>
      <w:r w:rsidRPr="001F131C">
        <w:rPr>
          <w:b/>
          <w:szCs w:val="22"/>
        </w:rPr>
        <w:t>copertura adeguata dell</w:t>
      </w:r>
      <w:r w:rsidR="00263090" w:rsidRPr="001F131C">
        <w:rPr>
          <w:b/>
          <w:szCs w:val="22"/>
        </w:rPr>
        <w:t>'</w:t>
      </w:r>
      <w:r w:rsidRPr="001F131C">
        <w:rPr>
          <w:b/>
          <w:szCs w:val="22"/>
        </w:rPr>
        <w:t>attività legislativa e delle attività istituzionali</w:t>
      </w:r>
      <w:r w:rsidRPr="001F131C">
        <w:rPr>
          <w:szCs w:val="22"/>
        </w:rPr>
        <w:t xml:space="preserve"> in questi cinque settori prioritari, oltre alla disponibilità </w:t>
      </w:r>
      <w:proofErr w:type="gramStart"/>
      <w:r w:rsidRPr="001F131C">
        <w:rPr>
          <w:szCs w:val="22"/>
        </w:rPr>
        <w:t xml:space="preserve">di </w:t>
      </w:r>
      <w:proofErr w:type="gramEnd"/>
      <w:r w:rsidRPr="001F131C">
        <w:rPr>
          <w:szCs w:val="22"/>
        </w:rPr>
        <w:t xml:space="preserve">informazioni essenziali su pareri e iniziative istituzionali, utilizzando gli strumenti di comunicazione più adeguati in modo integrato.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scelta una formula adeguata che utilizzerà un mix di media - servizi stampa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media audiovisivi, eventi, sito web, social media e pubblicazioni - e terrà conto dell'interesse giornalistico, della rilevanza politica e istituzionale, nonché dei potenziali destinatari.</w:t>
      </w:r>
    </w:p>
    <w:p w:rsidR="00D15234" w:rsidRPr="001F131C" w:rsidRDefault="00D15234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Parallelamente a tale impegno fondamentale ad </w:t>
      </w:r>
      <w:proofErr w:type="gramStart"/>
      <w:r w:rsidRPr="001F131C">
        <w:rPr>
          <w:szCs w:val="22"/>
        </w:rPr>
        <w:t>adempiere agli</w:t>
      </w:r>
      <w:proofErr w:type="gramEnd"/>
      <w:r w:rsidRPr="001F131C">
        <w:rPr>
          <w:szCs w:val="22"/>
        </w:rPr>
        <w:t xml:space="preserve"> obblighi di comunicazione istituzionale, è previsto un numero limitato di campagne di comunicazione più ampie, volte a conseguire chiari obiettivi politici e di comunicazione attraverso un approccio coordinato. Tali campagne copriranno le priorità </w:t>
      </w:r>
      <w:proofErr w:type="gramStart"/>
      <w:r w:rsidRPr="001F131C">
        <w:rPr>
          <w:szCs w:val="22"/>
        </w:rPr>
        <w:t>tematiche</w:t>
      </w:r>
      <w:proofErr w:type="gramEnd"/>
      <w:r w:rsidRPr="001F131C">
        <w:rPr>
          <w:szCs w:val="22"/>
        </w:rPr>
        <w:t xml:space="preserve">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per il 2016.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Heading1"/>
        <w:spacing w:line="240" w:lineRule="auto"/>
        <w:rPr>
          <w:b/>
          <w:szCs w:val="22"/>
        </w:rPr>
      </w:pPr>
      <w:r w:rsidRPr="001F131C">
        <w:rPr>
          <w:b/>
          <w:szCs w:val="22"/>
        </w:rPr>
        <w:t>Campagne di comunicazione mirate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E614A2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Le risorse </w:t>
      </w:r>
      <w:proofErr w:type="gramStart"/>
      <w:r w:rsidRPr="001F131C">
        <w:rPr>
          <w:szCs w:val="22"/>
        </w:rPr>
        <w:t>verranno</w:t>
      </w:r>
      <w:proofErr w:type="gramEnd"/>
      <w:r w:rsidRPr="001F131C">
        <w:rPr>
          <w:szCs w:val="22"/>
        </w:rPr>
        <w:t xml:space="preserve"> destinate alla copertura delle pertinenti attività dei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e concentrate su un numero limitato di temi politici, che dovrebbero risultare di particolare importanza nel 2016. Tali temi, indicati nell'elenco dettagliato di argomenti citato dalle priorità politiche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sono collegati al programma di lavoro della Commissione e sono considerati potenzialmente interessanti in termini di copertura mediatica e di contributi consultivi pertinenti dal basso. In particolare, 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</w:t>
      </w:r>
      <w:proofErr w:type="gramStart"/>
      <w:r w:rsidRPr="001F131C">
        <w:rPr>
          <w:szCs w:val="22"/>
        </w:rPr>
        <w:t>verranno</w:t>
      </w:r>
      <w:proofErr w:type="gramEnd"/>
      <w:r w:rsidRPr="001F131C">
        <w:rPr>
          <w:szCs w:val="22"/>
        </w:rPr>
        <w:t xml:space="preserve"> aiutati a partecipare più attivamente alle attività di comunicazione negli Stati membri, per le quali sarà richiesto un rafforzamento della cooperazione e del partenariato con le altre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Unione europea. Le campagne di comunicazione saranno sviluppate da gruppi </w:t>
      </w:r>
      <w:proofErr w:type="spellStart"/>
      <w:r w:rsidRPr="001F131C">
        <w:rPr>
          <w:szCs w:val="22"/>
        </w:rPr>
        <w:t>interservizi</w:t>
      </w:r>
      <w:proofErr w:type="spellEnd"/>
      <w:r w:rsidRPr="001F131C">
        <w:rPr>
          <w:szCs w:val="22"/>
        </w:rPr>
        <w:t xml:space="preserve"> specializzati. Nei paragrafi che </w:t>
      </w:r>
      <w:proofErr w:type="gramStart"/>
      <w:r w:rsidRPr="001F131C">
        <w:rPr>
          <w:szCs w:val="22"/>
        </w:rPr>
        <w:t>seguono</w:t>
      </w:r>
      <w:proofErr w:type="gramEnd"/>
      <w:r w:rsidRPr="001F131C">
        <w:rPr>
          <w:szCs w:val="22"/>
        </w:rPr>
        <w:t xml:space="preserve"> vengono illustrati i temi delle campagne proposte per il 2016.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Heading2"/>
        <w:spacing w:line="240" w:lineRule="auto"/>
        <w:rPr>
          <w:b/>
          <w:szCs w:val="22"/>
        </w:rPr>
      </w:pPr>
      <w:r w:rsidRPr="001F131C">
        <w:rPr>
          <w:b/>
          <w:szCs w:val="22"/>
        </w:rPr>
        <w:t>Rilanciare l'occupazione, la crescita e gli investimenti nelle regioni e nelle città d'</w:t>
      </w:r>
      <w:proofErr w:type="gramStart"/>
      <w:r w:rsidRPr="001F131C">
        <w:rPr>
          <w:b/>
          <w:szCs w:val="22"/>
        </w:rPr>
        <w:t>Europa</w:t>
      </w:r>
      <w:proofErr w:type="gramEnd"/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rStyle w:val="Emphasis"/>
          <w:i w:val="0"/>
          <w:szCs w:val="22"/>
        </w:rPr>
      </w:pPr>
      <w:r w:rsidRPr="001F131C">
        <w:rPr>
          <w:szCs w:val="22"/>
        </w:rPr>
        <w:t>La motivazione alla base di questa campagna è la necessità di rilanciare la crescita e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occupazione, e di promuovere la sostenibilità economica, sociale e ambientale di tutte le regioni e città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UE, attraverso investimenti pubblici e privati mirati. Il rafforzamento dei collegamenti di trasporto e delle reti energetiche e digitali, unitamente alla condivisione di esperienze e buone pratiche, può favorire la competitività delle città e delle regioni e, di conseguenza,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 nel suo insieme. </w:t>
      </w:r>
      <w:r w:rsidRPr="001F131C">
        <w:rPr>
          <w:rStyle w:val="Emphasis"/>
          <w:i w:val="0"/>
          <w:szCs w:val="22"/>
        </w:rPr>
        <w:t xml:space="preserve">Per le attività di comunicazione, che culmineranno con il 7º vertice europeo delle regioni e delle città (Bratislava, 8 e 9 luglio 2016), </w:t>
      </w:r>
      <w:proofErr w:type="gramStart"/>
      <w:r w:rsidRPr="001F131C">
        <w:rPr>
          <w:rStyle w:val="Emphasis"/>
          <w:i w:val="0"/>
          <w:szCs w:val="22"/>
        </w:rPr>
        <w:t>verranno</w:t>
      </w:r>
      <w:proofErr w:type="gramEnd"/>
      <w:r w:rsidRPr="001F131C">
        <w:rPr>
          <w:rStyle w:val="Emphasis"/>
          <w:i w:val="0"/>
          <w:szCs w:val="22"/>
        </w:rPr>
        <w:t xml:space="preserve"> utilizzati i seguenti strumenti del </w:t>
      </w:r>
      <w:proofErr w:type="spellStart"/>
      <w:r w:rsidRPr="001F131C">
        <w:rPr>
          <w:rStyle w:val="Emphasis"/>
          <w:i w:val="0"/>
          <w:szCs w:val="22"/>
        </w:rPr>
        <w:t>CdR</w:t>
      </w:r>
      <w:proofErr w:type="spellEnd"/>
      <w:r w:rsidRPr="001F131C">
        <w:rPr>
          <w:rStyle w:val="Emphasis"/>
          <w:i w:val="0"/>
          <w:szCs w:val="22"/>
        </w:rPr>
        <w:t xml:space="preserve">: pareri, studi, seminari, convegni, pubblicazioni e relativi messaggi. </w:t>
      </w:r>
    </w:p>
    <w:p w:rsidR="00601931" w:rsidRPr="001F131C" w:rsidRDefault="00601931" w:rsidP="001F131C">
      <w:pPr>
        <w:spacing w:line="240" w:lineRule="auto"/>
        <w:rPr>
          <w:i/>
          <w:szCs w:val="22"/>
        </w:rPr>
      </w:pPr>
    </w:p>
    <w:p w:rsidR="00601931" w:rsidRPr="001F131C" w:rsidRDefault="00601931" w:rsidP="001F131C">
      <w:pPr>
        <w:pStyle w:val="Heading2"/>
        <w:keepNext/>
        <w:keepLines/>
        <w:spacing w:line="240" w:lineRule="auto"/>
        <w:rPr>
          <w:b/>
          <w:szCs w:val="22"/>
        </w:rPr>
      </w:pPr>
      <w:r w:rsidRPr="001F131C">
        <w:rPr>
          <w:b/>
          <w:szCs w:val="22"/>
        </w:rPr>
        <w:t>Evidenziare la dimensione territoriale del bilancio dell</w:t>
      </w:r>
      <w:r w:rsidR="00263090" w:rsidRPr="001F131C">
        <w:rPr>
          <w:b/>
          <w:szCs w:val="22"/>
        </w:rPr>
        <w:t>'</w:t>
      </w:r>
      <w:r w:rsidRPr="001F131C">
        <w:rPr>
          <w:b/>
          <w:szCs w:val="22"/>
        </w:rPr>
        <w:t xml:space="preserve">UE </w:t>
      </w:r>
      <w:proofErr w:type="gramStart"/>
      <w:r w:rsidRPr="001F131C">
        <w:rPr>
          <w:b/>
          <w:szCs w:val="22"/>
        </w:rPr>
        <w:t>nel quadro della</w:t>
      </w:r>
      <w:proofErr w:type="gramEnd"/>
      <w:r w:rsidRPr="001F131C">
        <w:rPr>
          <w:b/>
          <w:szCs w:val="22"/>
        </w:rPr>
        <w:t xml:space="preserve"> sua revisione intermedia</w:t>
      </w:r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  <w:r w:rsidRPr="001F131C">
        <w:rPr>
          <w:szCs w:val="22"/>
        </w:rPr>
        <w:t xml:space="preserve">Uno dei principali messaggi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alle altre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 riguarda l'importanza della dimensione territoriale del bilancio </w:t>
      </w:r>
      <w:proofErr w:type="gramStart"/>
      <w:r w:rsidRPr="001F131C">
        <w:rPr>
          <w:szCs w:val="22"/>
        </w:rPr>
        <w:t>dell'</w:t>
      </w:r>
      <w:proofErr w:type="gramEnd"/>
      <w:r w:rsidRPr="001F131C">
        <w:rPr>
          <w:szCs w:val="22"/>
        </w:rPr>
        <w:t xml:space="preserve">UE. La Commissione europea presenterà la </w:t>
      </w:r>
      <w:proofErr w:type="gramStart"/>
      <w:r w:rsidRPr="001F131C">
        <w:rPr>
          <w:szCs w:val="22"/>
        </w:rPr>
        <w:t>revisione</w:t>
      </w:r>
      <w:proofErr w:type="gramEnd"/>
      <w:r w:rsidRPr="001F131C">
        <w:rPr>
          <w:szCs w:val="22"/>
        </w:rPr>
        <w:t xml:space="preserve"> intermedia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attuale quadro finanziario pluriennale entro la fine del 2016. In tale </w:t>
      </w:r>
      <w:proofErr w:type="gramStart"/>
      <w:r w:rsidRPr="001F131C">
        <w:rPr>
          <w:szCs w:val="22"/>
        </w:rPr>
        <w:t>contesto</w:t>
      </w:r>
      <w:proofErr w:type="gramEnd"/>
      <w:r w:rsidRPr="001F131C">
        <w:rPr>
          <w:szCs w:val="22"/>
        </w:rPr>
        <w:t xml:space="preserve">, le attività di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sosterranno i lavori politici e legislativi Comitato e sottolineeranno la necessità di coinvolgere gli enti regionali e locali quando i fondi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 vengono spesi per progetti locali. Molto probabilmente, le attività di comunicazione a questo proposito culmineranno nella seconda metà del 2016.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Heading2"/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Sostenere la stabilità mondiale attraverso la cooperazione regionale e </w:t>
      </w:r>
      <w:proofErr w:type="gramStart"/>
      <w:r w:rsidRPr="001F131C">
        <w:rPr>
          <w:b/>
          <w:szCs w:val="22"/>
        </w:rPr>
        <w:t>locale</w:t>
      </w:r>
      <w:proofErr w:type="gramEnd"/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0536FC" w:rsidP="001F131C">
      <w:pPr>
        <w:spacing w:line="240" w:lineRule="auto"/>
        <w:rPr>
          <w:szCs w:val="22"/>
        </w:rPr>
      </w:pPr>
      <w:r w:rsidRPr="001F131C">
        <w:rPr>
          <w:szCs w:val="22"/>
        </w:rPr>
        <w:t>I recenti dibattiti, anche sulla crisi dei rifugiati, hanno dimostrato ancora una volta che in un mondo interconnesso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Europa deve trovare soluzioni comuni per sfide </w:t>
      </w:r>
      <w:proofErr w:type="gramStart"/>
      <w:r w:rsidRPr="001F131C">
        <w:rPr>
          <w:szCs w:val="22"/>
        </w:rPr>
        <w:t>comuni</w:t>
      </w:r>
      <w:proofErr w:type="gramEnd"/>
      <w:r w:rsidRPr="001F131C">
        <w:rPr>
          <w:szCs w:val="22"/>
        </w:rPr>
        <w:t xml:space="preserve">. Le regioni e le città possono contribuire a far fronte a queste sfide in materia di migrazione, cambiamenti climatici, politica commerciale (TTIP), politiche di allargamento e di vicinato, e il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continuerà a sviluppare la sua attività legislativa su questi temi. </w:t>
      </w:r>
      <w:proofErr w:type="gramStart"/>
      <w:r w:rsidRPr="001F131C">
        <w:rPr>
          <w:szCs w:val="22"/>
        </w:rPr>
        <w:t xml:space="preserve">Inoltre, il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intende approfondire la sua cooperazione con i rappresentanti regionali e locali nei paesi del vicinato meridionale e orientale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UE, attraverso le sue due assemblee ARLEM e </w:t>
      </w:r>
      <w:proofErr w:type="spellStart"/>
      <w:r w:rsidRPr="001F131C">
        <w:rPr>
          <w:szCs w:val="22"/>
        </w:rPr>
        <w:t>Corleap</w:t>
      </w:r>
      <w:proofErr w:type="spellEnd"/>
      <w:r w:rsidRPr="001F131C">
        <w:rPr>
          <w:szCs w:val="22"/>
        </w:rPr>
        <w:t>, oltre a sviluppare le proprie attività orientate a livello globale in collaborazione con gli enti regionali e locali e i loro organi rappresentativi, le reti e le associazioni, ad esempio con il Patto dei sindaci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UE, il Congresso del Consiglio d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Europa, le Nazioni Unite (PNUS, UN-HABITAT, UNEP), ecc.</w:t>
      </w:r>
      <w:proofErr w:type="gramEnd"/>
      <w:r w:rsidRPr="001F131C">
        <w:rPr>
          <w:szCs w:val="22"/>
        </w:rPr>
        <w:t xml:space="preserve"> Nel 2016, le attività di comunicazione a livello sia </w:t>
      </w:r>
      <w:proofErr w:type="gramStart"/>
      <w:r w:rsidRPr="001F131C">
        <w:rPr>
          <w:szCs w:val="22"/>
        </w:rPr>
        <w:t>locale</w:t>
      </w:r>
      <w:proofErr w:type="gramEnd"/>
      <w:r w:rsidRPr="001F131C">
        <w:rPr>
          <w:szCs w:val="22"/>
        </w:rPr>
        <w:t xml:space="preserve"> sia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UE, contribuiranno ad accrescere la consapevolezza riguardo a tali questioni, tra le parti interessate e il pubblico, e a promuovere lo scambio di buone pratiche.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Per ciascuna di queste campagne mirate,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messa a punto una serie di strumenti di comunicazione quali:</w:t>
      </w:r>
    </w:p>
    <w:p w:rsidR="00DF463E" w:rsidRPr="001F131C" w:rsidRDefault="00DF463E" w:rsidP="001F131C">
      <w:pPr>
        <w:spacing w:line="240" w:lineRule="auto"/>
        <w:rPr>
          <w:szCs w:val="22"/>
        </w:rPr>
      </w:pPr>
    </w:p>
    <w:p w:rsidR="00601931" w:rsidRPr="001F131C" w:rsidRDefault="000167BF" w:rsidP="001F131C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proofErr w:type="gramStart"/>
      <w:r w:rsidRPr="001F131C">
        <w:rPr>
          <w:szCs w:val="22"/>
        </w:rPr>
        <w:t>pacchetti</w:t>
      </w:r>
      <w:proofErr w:type="gramEnd"/>
      <w:r w:rsidRPr="001F131C">
        <w:rPr>
          <w:szCs w:val="22"/>
        </w:rPr>
        <w:t xml:space="preserve"> informativi per 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in tutte le lingue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UE, comprendenti schede informative, presentazioni, </w:t>
      </w:r>
      <w:proofErr w:type="spellStart"/>
      <w:r w:rsidRPr="001F131C">
        <w:rPr>
          <w:szCs w:val="22"/>
        </w:rPr>
        <w:t>infografiche</w:t>
      </w:r>
      <w:proofErr w:type="spellEnd"/>
      <w:r w:rsidRPr="001F131C">
        <w:rPr>
          <w:szCs w:val="22"/>
        </w:rPr>
        <w:t xml:space="preserve"> e video clip sulle tre campagne tematiche. I pacchetti, ideati e distribuiti di concerto con le delegazioni nazionali, per sostenere i membri nella loro </w:t>
      </w:r>
      <w:r w:rsidRPr="001F131C">
        <w:rPr>
          <w:szCs w:val="22"/>
        </w:rPr>
        <w:lastRenderedPageBreak/>
        <w:t xml:space="preserve">attività politica e informare il pubblico e le parti interessate, conterranno articoli di stampa (che utilizzano la metodologia dello </w:t>
      </w:r>
      <w:proofErr w:type="spellStart"/>
      <w:r w:rsidRPr="001F131C">
        <w:rPr>
          <w:szCs w:val="22"/>
        </w:rPr>
        <w:t>storytelling</w:t>
      </w:r>
      <w:proofErr w:type="spellEnd"/>
      <w:r w:rsidRPr="001F131C">
        <w:rPr>
          <w:szCs w:val="22"/>
        </w:rPr>
        <w:t xml:space="preserve">), contenuti condivisibili </w:t>
      </w:r>
      <w:proofErr w:type="gramStart"/>
      <w:r w:rsidRPr="001F131C">
        <w:rPr>
          <w:szCs w:val="22"/>
        </w:rPr>
        <w:t>sui social media e materiale audiovisivo</w:t>
      </w:r>
      <w:proofErr w:type="gramEnd"/>
      <w:r w:rsidRPr="001F131C">
        <w:rPr>
          <w:szCs w:val="22"/>
        </w:rPr>
        <w:t>;</w:t>
      </w:r>
    </w:p>
    <w:p w:rsidR="00601931" w:rsidRPr="001F131C" w:rsidRDefault="000167BF" w:rsidP="001F131C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proofErr w:type="gramStart"/>
      <w:r w:rsidRPr="001F131C">
        <w:rPr>
          <w:szCs w:val="22"/>
        </w:rPr>
        <w:t>attività</w:t>
      </w:r>
      <w:proofErr w:type="gramEnd"/>
      <w:r w:rsidRPr="001F131C">
        <w:rPr>
          <w:szCs w:val="22"/>
        </w:rPr>
        <w:t xml:space="preserve"> mediatiche (relazioni con la stampa, </w:t>
      </w:r>
      <w:proofErr w:type="spellStart"/>
      <w:r w:rsidRPr="001F131C">
        <w:rPr>
          <w:szCs w:val="22"/>
        </w:rPr>
        <w:t>storytelling</w:t>
      </w:r>
      <w:proofErr w:type="spellEnd"/>
      <w:r w:rsidRPr="001F131C">
        <w:rPr>
          <w:szCs w:val="22"/>
        </w:rPr>
        <w:t xml:space="preserve"> audiovisivo per diversi gruppi di destinatari, partenariati tra mezzi di comunicazione); </w:t>
      </w:r>
    </w:p>
    <w:p w:rsidR="00601931" w:rsidRPr="001F131C" w:rsidRDefault="000167BF" w:rsidP="001F131C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proofErr w:type="gramStart"/>
      <w:r w:rsidRPr="001F131C">
        <w:rPr>
          <w:szCs w:val="22"/>
        </w:rPr>
        <w:t>strategie</w:t>
      </w:r>
      <w:proofErr w:type="gramEnd"/>
      <w:r w:rsidRPr="001F131C">
        <w:rPr>
          <w:szCs w:val="22"/>
        </w:rPr>
        <w:t xml:space="preserve"> in materia di social media;</w:t>
      </w:r>
      <w:r w:rsidR="00263090" w:rsidRPr="001F131C">
        <w:rPr>
          <w:szCs w:val="22"/>
        </w:rPr>
        <w:t xml:space="preserve"> </w:t>
      </w:r>
    </w:p>
    <w:p w:rsidR="00601931" w:rsidRPr="001F131C" w:rsidRDefault="000167BF" w:rsidP="001F131C">
      <w:pPr>
        <w:numPr>
          <w:ilvl w:val="0"/>
          <w:numId w:val="17"/>
        </w:numPr>
        <w:spacing w:line="240" w:lineRule="auto"/>
        <w:ind w:left="369" w:hanging="369"/>
        <w:rPr>
          <w:szCs w:val="22"/>
        </w:rPr>
      </w:pPr>
      <w:proofErr w:type="gramStart"/>
      <w:r w:rsidRPr="001F131C">
        <w:rPr>
          <w:szCs w:val="22"/>
        </w:rPr>
        <w:t>eventi</w:t>
      </w:r>
      <w:proofErr w:type="gramEnd"/>
      <w:r w:rsidRPr="001F131C">
        <w:rPr>
          <w:szCs w:val="22"/>
        </w:rPr>
        <w:t xml:space="preserve"> chiave (convegni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7º </w:t>
      </w:r>
      <w:r w:rsidR="00263090" w:rsidRPr="001F131C">
        <w:rPr>
          <w:szCs w:val="22"/>
        </w:rPr>
        <w:t>Vertice</w:t>
      </w:r>
      <w:r w:rsidRPr="001F131C">
        <w:rPr>
          <w:szCs w:val="22"/>
        </w:rPr>
        <w:t xml:space="preserve"> delle regioni e delle città, ecc.). 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Una panoramica dettagliata delle attività proposte per le priorità generali, </w:t>
      </w:r>
      <w:proofErr w:type="gramStart"/>
      <w:r w:rsidRPr="001F131C">
        <w:rPr>
          <w:szCs w:val="22"/>
        </w:rPr>
        <w:t>nonché</w:t>
      </w:r>
      <w:proofErr w:type="gramEnd"/>
      <w:r w:rsidRPr="001F131C">
        <w:rPr>
          <w:szCs w:val="22"/>
        </w:rPr>
        <w:t xml:space="preserve"> per la campagne tematiche, figura nell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allegato I. La pianificazione delle campagne </w:t>
      </w:r>
      <w:proofErr w:type="gramStart"/>
      <w:r w:rsidRPr="001F131C">
        <w:rPr>
          <w:szCs w:val="22"/>
        </w:rPr>
        <w:t>tematiche</w:t>
      </w:r>
      <w:proofErr w:type="gramEnd"/>
      <w:r w:rsidRPr="001F131C">
        <w:rPr>
          <w:szCs w:val="22"/>
        </w:rPr>
        <w:t xml:space="preserve"> seguirà le seguenti tappe:</w:t>
      </w:r>
    </w:p>
    <w:p w:rsidR="00DF463E" w:rsidRPr="001F131C" w:rsidRDefault="00DF463E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ListParagraph"/>
        <w:keepNext/>
        <w:keepLines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</w:rPr>
      </w:pPr>
      <w:proofErr w:type="gramStart"/>
      <w:r w:rsidRPr="001F131C">
        <w:rPr>
          <w:rFonts w:ascii="Times New Roman" w:hAnsi="Times New Roman"/>
        </w:rPr>
        <w:t>narrativa</w:t>
      </w:r>
      <w:proofErr w:type="gramEnd"/>
      <w:r w:rsidRPr="001F131C">
        <w:rPr>
          <w:rFonts w:ascii="Times New Roman" w:hAnsi="Times New Roman"/>
        </w:rPr>
        <w:t xml:space="preserve"> mirata agli enti locali e regionali;</w:t>
      </w:r>
    </w:p>
    <w:p w:rsidR="00601931" w:rsidRPr="001F131C" w:rsidRDefault="00601931" w:rsidP="001F131C">
      <w:pPr>
        <w:pStyle w:val="ListParagraph"/>
        <w:keepNext/>
        <w:keepLines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1F131C">
        <w:rPr>
          <w:rFonts w:ascii="Times New Roman" w:hAnsi="Times New Roman"/>
        </w:rPr>
        <w:t>narrativa</w:t>
      </w:r>
      <w:proofErr w:type="gramEnd"/>
      <w:r w:rsidRPr="001F131C">
        <w:rPr>
          <w:rFonts w:ascii="Times New Roman" w:hAnsi="Times New Roman"/>
        </w:rPr>
        <w:t xml:space="preserve"> rivolta alle istituzioni dell'UE;</w:t>
      </w:r>
    </w:p>
    <w:p w:rsidR="00601931" w:rsidRPr="001F131C" w:rsidRDefault="00601931" w:rsidP="001F131C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1F131C">
        <w:rPr>
          <w:rFonts w:ascii="Times New Roman" w:hAnsi="Times New Roman"/>
        </w:rPr>
        <w:t>calendario</w:t>
      </w:r>
      <w:proofErr w:type="gramEnd"/>
      <w:r w:rsidRPr="001F131C">
        <w:rPr>
          <w:rFonts w:ascii="Times New Roman" w:hAnsi="Times New Roman"/>
        </w:rPr>
        <w:t xml:space="preserve"> 2016;</w:t>
      </w:r>
    </w:p>
    <w:p w:rsidR="00601931" w:rsidRPr="001F131C" w:rsidRDefault="00601931" w:rsidP="001F131C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</w:rPr>
      </w:pPr>
      <w:proofErr w:type="gramStart"/>
      <w:r w:rsidRPr="001F131C">
        <w:rPr>
          <w:rFonts w:ascii="Times New Roman" w:hAnsi="Times New Roman"/>
        </w:rPr>
        <w:t>principali</w:t>
      </w:r>
      <w:proofErr w:type="gramEnd"/>
      <w:r w:rsidRPr="001F131C">
        <w:rPr>
          <w:rFonts w:ascii="Times New Roman" w:hAnsi="Times New Roman"/>
        </w:rPr>
        <w:t xml:space="preserve"> attività di comunicazione.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F55BAB" w:rsidP="001F131C">
      <w:pPr>
        <w:pStyle w:val="Heading1"/>
        <w:keepNext/>
        <w:keepLines/>
        <w:spacing w:line="240" w:lineRule="auto"/>
        <w:rPr>
          <w:b/>
          <w:szCs w:val="22"/>
        </w:rPr>
      </w:pPr>
      <w:proofErr w:type="gramStart"/>
      <w:r w:rsidRPr="001F131C">
        <w:rPr>
          <w:b/>
          <w:szCs w:val="22"/>
        </w:rPr>
        <w:t xml:space="preserve">Innovazioni nelle attività e nei servizi di comunicazione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b/>
          <w:szCs w:val="22"/>
        </w:rPr>
        <w:t xml:space="preserve"> per il 2016</w:t>
      </w:r>
      <w:proofErr w:type="gramEnd"/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</w:p>
    <w:p w:rsidR="00601931" w:rsidRPr="001F131C" w:rsidRDefault="00601931" w:rsidP="001F131C">
      <w:pPr>
        <w:keepNext/>
        <w:keepLines/>
        <w:spacing w:line="240" w:lineRule="auto"/>
        <w:rPr>
          <w:szCs w:val="22"/>
        </w:rPr>
      </w:pPr>
      <w:r w:rsidRPr="001F131C">
        <w:rPr>
          <w:szCs w:val="22"/>
        </w:rPr>
        <w:t xml:space="preserve">Nel presente capitolo, </w:t>
      </w:r>
      <w:proofErr w:type="gramStart"/>
      <w:r w:rsidRPr="001F131C">
        <w:rPr>
          <w:szCs w:val="22"/>
        </w:rPr>
        <w:t>viene</w:t>
      </w:r>
      <w:proofErr w:type="gramEnd"/>
      <w:r w:rsidRPr="001F131C">
        <w:rPr>
          <w:szCs w:val="22"/>
        </w:rPr>
        <w:t xml:space="preserve"> fornita una breve descrizione delle attività e dei servizi generali di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disponibili per l'amministrazione e per 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. La descrizione si concentra sui nuovi servizi e approcci da attuare nel 2016. Per </w:t>
      </w:r>
      <w:proofErr w:type="gramStart"/>
      <w:r w:rsidRPr="001F131C">
        <w:rPr>
          <w:szCs w:val="22"/>
        </w:rPr>
        <w:t xml:space="preserve">ciascuna </w:t>
      </w:r>
      <w:proofErr w:type="gramEnd"/>
      <w:r w:rsidRPr="001F131C">
        <w:rPr>
          <w:szCs w:val="22"/>
        </w:rPr>
        <w:t xml:space="preserve">attività di comunicazione, verrà eseguita una valutazione integrata del mix di strumenti di comunicazione più adeguati. Se necessario, la comunicazione affronterà anche questioni impreviste </w:t>
      </w:r>
      <w:proofErr w:type="gramStart"/>
      <w:r w:rsidRPr="001F131C">
        <w:rPr>
          <w:szCs w:val="22"/>
        </w:rPr>
        <w:t xml:space="preserve">di </w:t>
      </w:r>
      <w:proofErr w:type="gramEnd"/>
      <w:r w:rsidRPr="001F131C">
        <w:rPr>
          <w:szCs w:val="22"/>
        </w:rPr>
        <w:t>interesse mediatico che hanno un impatto sull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agenda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 e sugli enti locali e regionali.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Relazioni con la stampa e i media</w:t>
      </w:r>
    </w:p>
    <w:p w:rsidR="00DD3A9A" w:rsidRPr="001F131C" w:rsidRDefault="00DD3A9A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Gli effettivi della direzione Comunicazione sono stati aumentati nel 2015 e seguono tutte le attività delle commissioni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</w:t>
      </w:r>
      <w:proofErr w:type="gramStart"/>
      <w:r w:rsidRPr="001F131C">
        <w:rPr>
          <w:szCs w:val="22"/>
        </w:rPr>
        <w:t>nonché</w:t>
      </w:r>
      <w:proofErr w:type="gramEnd"/>
      <w:r w:rsidRPr="001F131C">
        <w:rPr>
          <w:szCs w:val="22"/>
        </w:rPr>
        <w:t xml:space="preserve"> i "mercati" dei principali mezzi di comunicazione nazionali (stampa UK, FR, IT, ES, PL, DE, AT, BE, UE). </w:t>
      </w:r>
      <w:proofErr w:type="gramStart"/>
      <w:r w:rsidRPr="001F131C">
        <w:rPr>
          <w:szCs w:val="22"/>
        </w:rPr>
        <w:t>A partire dal</w:t>
      </w:r>
      <w:proofErr w:type="gramEnd"/>
      <w:r w:rsidRPr="001F131C">
        <w:rPr>
          <w:szCs w:val="22"/>
        </w:rPr>
        <w:t xml:space="preserve"> 2016 è prevista una </w:t>
      </w:r>
      <w:r w:rsidRPr="001F131C">
        <w:rPr>
          <w:b/>
          <w:szCs w:val="22"/>
        </w:rPr>
        <w:t xml:space="preserve">programmazione rafforzata con l'introduzione di un nuovo media </w:t>
      </w:r>
      <w:proofErr w:type="spellStart"/>
      <w:r w:rsidRPr="001F131C">
        <w:rPr>
          <w:b/>
          <w:szCs w:val="22"/>
        </w:rPr>
        <w:t>planner</w:t>
      </w:r>
      <w:proofErr w:type="spellEnd"/>
      <w:r w:rsidRPr="001F131C">
        <w:rPr>
          <w:szCs w:val="22"/>
        </w:rPr>
        <w:t xml:space="preserve">, che comprenderà contributi da tutti i servizi e gruppi politici (comunicati stampa, conferenze stampa, viaggi stampa, kit per i media, ecc.). Il media </w:t>
      </w:r>
      <w:proofErr w:type="spellStart"/>
      <w:r w:rsidRPr="001F131C">
        <w:rPr>
          <w:szCs w:val="22"/>
        </w:rPr>
        <w:t>planner</w:t>
      </w:r>
      <w:proofErr w:type="spellEnd"/>
      <w:r w:rsidRPr="001F131C">
        <w:rPr>
          <w:szCs w:val="22"/>
        </w:rPr>
        <w:t xml:space="preserve"> sarà strettamente e proattivamente collegato alle agende politiche e legislative delle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 </w:t>
      </w:r>
      <w:r w:rsidRPr="001F131C">
        <w:rPr>
          <w:b/>
          <w:szCs w:val="22"/>
        </w:rPr>
        <w:t>partenariati con i media</w:t>
      </w:r>
      <w:r w:rsidRPr="001F131C">
        <w:rPr>
          <w:szCs w:val="22"/>
        </w:rPr>
        <w:t xml:space="preserve"> (con un'agenzia di stampa europea e con altre agenzie nazionali, </w:t>
      </w:r>
      <w:proofErr w:type="gramStart"/>
      <w:r w:rsidRPr="001F131C">
        <w:rPr>
          <w:szCs w:val="22"/>
        </w:rPr>
        <w:t>nonché</w:t>
      </w:r>
      <w:proofErr w:type="gramEnd"/>
      <w:r w:rsidRPr="001F131C">
        <w:rPr>
          <w:szCs w:val="22"/>
        </w:rPr>
        <w:t xml:space="preserve"> con emittenti pubbliche) saranno valutati e sviluppati ulteriormente, comprese le reti radiofoniche e</w:t>
      </w:r>
      <w:r w:rsidR="00263090" w:rsidRPr="001F131C">
        <w:rPr>
          <w:szCs w:val="22"/>
        </w:rPr>
        <w:t xml:space="preserve"> </w:t>
      </w:r>
      <w:r w:rsidRPr="001F131C">
        <w:rPr>
          <w:szCs w:val="22"/>
        </w:rPr>
        <w:t>televisive regionali (</w:t>
      </w:r>
      <w:proofErr w:type="spellStart"/>
      <w:r w:rsidRPr="001F131C">
        <w:rPr>
          <w:szCs w:val="22"/>
        </w:rPr>
        <w:t>Circom</w:t>
      </w:r>
      <w:proofErr w:type="spellEnd"/>
      <w:r w:rsidRPr="001F131C">
        <w:rPr>
          <w:szCs w:val="22"/>
        </w:rPr>
        <w:t xml:space="preserve">). 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 relatori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continueranno </w:t>
      </w:r>
      <w:proofErr w:type="gramStart"/>
      <w:r w:rsidRPr="001F131C">
        <w:rPr>
          <w:szCs w:val="22"/>
        </w:rPr>
        <w:t>ad</w:t>
      </w:r>
      <w:proofErr w:type="gramEnd"/>
      <w:r w:rsidRPr="001F131C">
        <w:rPr>
          <w:szCs w:val="22"/>
        </w:rPr>
        <w:t xml:space="preserve"> essere tra i principali clienti del servizio, che </w:t>
      </w:r>
      <w:r w:rsidRPr="001F131C">
        <w:rPr>
          <w:b/>
          <w:szCs w:val="22"/>
        </w:rPr>
        <w:t>diversificherà e amplierà la copertura</w:t>
      </w:r>
      <w:r w:rsidRPr="001F131C">
        <w:rPr>
          <w:szCs w:val="22"/>
        </w:rPr>
        <w:t xml:space="preserve"> delle diverse fasi della produzione e adozione dei pareri. Inoltre, la direzione Comunicazione cercherà di individuare oratori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che possono essere impiegati per attività di comunicazione collegate alle priorità istituzionali più rilevanti.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Il rafforzamento delle </w:t>
      </w:r>
      <w:r w:rsidRPr="001F131C">
        <w:rPr>
          <w:b/>
          <w:szCs w:val="22"/>
        </w:rPr>
        <w:t>sinergie con i partner istituzionali</w:t>
      </w:r>
      <w:r w:rsidRPr="001F131C">
        <w:rPr>
          <w:szCs w:val="22"/>
        </w:rPr>
        <w:t xml:space="preserve">, quali il Parlamento europeo e la BEI, ha creato notevoli opportunità di comunicazione congiunta nel 2015, opportunità che </w:t>
      </w:r>
      <w:proofErr w:type="gramStart"/>
      <w:r w:rsidRPr="001F131C">
        <w:rPr>
          <w:szCs w:val="22"/>
        </w:rPr>
        <w:t>saranno</w:t>
      </w:r>
      <w:proofErr w:type="gramEnd"/>
      <w:r w:rsidRPr="001F131C">
        <w:rPr>
          <w:szCs w:val="22"/>
        </w:rPr>
        <w:t xml:space="preserve"> ulteriormente ampliate nel 2016. Inoltre, il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organizzerà una serie di seminari destinati ai rappresentanti dei media regionali, in collaborazione con il Parlamento europeo, il Consiglio e la Commissione </w:t>
      </w:r>
      <w:proofErr w:type="gramStart"/>
      <w:r w:rsidRPr="001F131C">
        <w:rPr>
          <w:szCs w:val="22"/>
        </w:rPr>
        <w:t>europea</w:t>
      </w:r>
      <w:proofErr w:type="gramEnd"/>
      <w:r w:rsidRPr="001F131C">
        <w:rPr>
          <w:szCs w:val="22"/>
        </w:rPr>
        <w:t>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 </w:t>
      </w:r>
      <w:r w:rsidRPr="001F131C">
        <w:rPr>
          <w:b/>
          <w:szCs w:val="22"/>
        </w:rPr>
        <w:t>canali audiovisivi</w:t>
      </w:r>
      <w:r w:rsidRPr="001F131C">
        <w:rPr>
          <w:szCs w:val="22"/>
        </w:rPr>
        <w:t xml:space="preserve">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saranno ulteriormente utilizzati per sostenere la narrazione (</w:t>
      </w:r>
      <w:proofErr w:type="spellStart"/>
      <w:r w:rsidRPr="001F131C">
        <w:rPr>
          <w:i/>
          <w:szCs w:val="22"/>
        </w:rPr>
        <w:t>storytelling</w:t>
      </w:r>
      <w:proofErr w:type="spellEnd"/>
      <w:r w:rsidRPr="001F131C">
        <w:rPr>
          <w:szCs w:val="22"/>
        </w:rPr>
        <w:t>) dal basso, dando voce ai membri e agli altri attori locali e regionali sui diversi temi prioritari.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Eventi</w:t>
      </w:r>
    </w:p>
    <w:p w:rsidR="00DD3A9A" w:rsidRPr="001F131C" w:rsidRDefault="00DD3A9A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 2016 le </w:t>
      </w:r>
      <w:r w:rsidRPr="001F131C">
        <w:rPr>
          <w:b/>
          <w:szCs w:val="22"/>
        </w:rPr>
        <w:t xml:space="preserve">quattro manifestazioni principali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szCs w:val="22"/>
        </w:rPr>
        <w:t xml:space="preserve"> (convegno sull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agenda urbana ad Amsterdam in maggio, vertice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a Bratislava in luglio, Open </w:t>
      </w:r>
      <w:proofErr w:type="spellStart"/>
      <w:r w:rsidRPr="001F131C">
        <w:rPr>
          <w:szCs w:val="22"/>
        </w:rPr>
        <w:t>Days</w:t>
      </w:r>
      <w:proofErr w:type="spellEnd"/>
      <w:r w:rsidRPr="001F131C">
        <w:rPr>
          <w:szCs w:val="22"/>
        </w:rPr>
        <w:t xml:space="preserve"> </w:t>
      </w:r>
      <w:proofErr w:type="gramStart"/>
      <w:r w:rsidRPr="001F131C">
        <w:rPr>
          <w:szCs w:val="22"/>
        </w:rPr>
        <w:t>e</w:t>
      </w:r>
      <w:proofErr w:type="gramEnd"/>
      <w:r w:rsidRPr="001F131C">
        <w:rPr>
          <w:szCs w:val="22"/>
        </w:rPr>
        <w:t xml:space="preserve"> </w:t>
      </w:r>
      <w:proofErr w:type="spellStart"/>
      <w:r w:rsidRPr="001F131C">
        <w:rPr>
          <w:szCs w:val="22"/>
        </w:rPr>
        <w:t>EuropCom</w:t>
      </w:r>
      <w:proofErr w:type="spellEnd"/>
      <w:r w:rsidRPr="001F131C">
        <w:rPr>
          <w:szCs w:val="22"/>
        </w:rPr>
        <w:t xml:space="preserve"> in ottobre a Bruxelles), unitamente ad altri </w:t>
      </w:r>
      <w:r w:rsidRPr="001F131C">
        <w:rPr>
          <w:b/>
          <w:szCs w:val="22"/>
        </w:rPr>
        <w:t xml:space="preserve">tre convegni tematici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szCs w:val="22"/>
        </w:rPr>
        <w:t xml:space="preserve">, che si svolgeranno in concomitanza con le sessioni plenarie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di aprile, giugno e dicembre) garantiranno un programma estremamente nutrito di eventi e necessiteranno di un livello significativo di coordinamento interno ed esterno. Infine,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sfruttato in maniera migliore il potenziale di comunicazione delle riunioni fuori sede delle commissioni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.</w:t>
      </w:r>
    </w:p>
    <w:p w:rsidR="008E02A1" w:rsidRPr="001F131C" w:rsidRDefault="008E02A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>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unità Eventi continuerà </w:t>
      </w:r>
      <w:proofErr w:type="gramStart"/>
      <w:r w:rsidRPr="001F131C">
        <w:rPr>
          <w:szCs w:val="22"/>
        </w:rPr>
        <w:t>ad</w:t>
      </w:r>
      <w:proofErr w:type="gramEnd"/>
      <w:r w:rsidRPr="001F131C">
        <w:rPr>
          <w:szCs w:val="22"/>
        </w:rPr>
        <w:t xml:space="preserve"> ospitare circa </w:t>
      </w:r>
      <w:r w:rsidRPr="001F131C">
        <w:rPr>
          <w:b/>
          <w:szCs w:val="22"/>
        </w:rPr>
        <w:t>80 eventi non statutari</w:t>
      </w:r>
      <w:r w:rsidRPr="001F131C">
        <w:rPr>
          <w:szCs w:val="22"/>
        </w:rPr>
        <w:t xml:space="preserve"> e ad accogliere </w:t>
      </w:r>
      <w:r w:rsidRPr="001F131C">
        <w:rPr>
          <w:b/>
          <w:szCs w:val="22"/>
        </w:rPr>
        <w:t>600 gruppi di visitatori</w:t>
      </w:r>
      <w:r w:rsidRPr="001F131C">
        <w:rPr>
          <w:szCs w:val="22"/>
        </w:rPr>
        <w:t xml:space="preserve"> nei locali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. La maggior parte delle attività sono svolte in stretta cooperazione con 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con altre istituzioni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 - in particolare con la Commissione europea e, più precisamente, con i servizi di comunicazione incaricati di comunicare con il pubblico (Dialoghi dei cittadini e Centri d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informazione Europe Direct) - </w:t>
      </w:r>
      <w:proofErr w:type="gramStart"/>
      <w:r w:rsidRPr="001F131C">
        <w:rPr>
          <w:szCs w:val="22"/>
        </w:rPr>
        <w:t>nonché</w:t>
      </w:r>
      <w:proofErr w:type="gramEnd"/>
      <w:r w:rsidRPr="001F131C">
        <w:rPr>
          <w:szCs w:val="22"/>
        </w:rPr>
        <w:t xml:space="preserve"> con associazioni e enti regionali e locali. In tal modo, la direzione aumenterà ulteriormente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interattività degli eventi e la portata della loro diffusione online. Nel 2016,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attuata una </w:t>
      </w:r>
      <w:r w:rsidRPr="001F131C">
        <w:rPr>
          <w:b/>
          <w:szCs w:val="22"/>
        </w:rPr>
        <w:t>nuova decisione sugli eventi locali</w:t>
      </w:r>
      <w:r w:rsidRPr="001F131C">
        <w:rPr>
          <w:szCs w:val="22"/>
        </w:rPr>
        <w:t xml:space="preserve">, dopo una fase pilota nel 2014/15, per la quale verrà richiesto un maggiore coinvolgimento dei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e delle istituzioni locali.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Comunicazione online, social media e pubblicazioni</w:t>
      </w:r>
    </w:p>
    <w:p w:rsidR="007B69B0" w:rsidRPr="001F131C" w:rsidRDefault="007B69B0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 2016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sviluppata e attuata </w:t>
      </w:r>
      <w:r w:rsidRPr="001F131C">
        <w:rPr>
          <w:b/>
          <w:szCs w:val="22"/>
        </w:rPr>
        <w:t>una strategia digitale e dei social media</w:t>
      </w:r>
      <w:r w:rsidRPr="001F131C">
        <w:rPr>
          <w:szCs w:val="22"/>
        </w:rPr>
        <w:t>, con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obiettivo di promuovere la comunicazione bidirezionale attraverso attività selezionate, creare e gestire una comunità su un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adeguata piattaforma dei social media, e aumentare la visibilità del sito web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. Lo sviluppo di tale strategia includerà un codice di condotta e una serie di linee guida per il personale che si </w:t>
      </w:r>
      <w:proofErr w:type="gramStart"/>
      <w:r w:rsidRPr="001F131C">
        <w:rPr>
          <w:szCs w:val="22"/>
        </w:rPr>
        <w:t>occupa</w:t>
      </w:r>
      <w:proofErr w:type="gramEnd"/>
      <w:r w:rsidRPr="001F131C">
        <w:rPr>
          <w:szCs w:val="22"/>
        </w:rPr>
        <w:t xml:space="preserve"> degli account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sui media sociali.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Durante l'anno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altresì messo a punto e definito con precisione un piano di comunicazione sui social media. Le principali piattaforme sociali utilizzate saranno </w:t>
      </w:r>
      <w:proofErr w:type="spellStart"/>
      <w:r w:rsidRPr="001F131C">
        <w:rPr>
          <w:szCs w:val="22"/>
        </w:rPr>
        <w:t>Twitter</w:t>
      </w:r>
      <w:proofErr w:type="spellEnd"/>
      <w:r w:rsidRPr="001F131C">
        <w:rPr>
          <w:szCs w:val="22"/>
        </w:rPr>
        <w:t xml:space="preserve">, </w:t>
      </w:r>
      <w:proofErr w:type="spellStart"/>
      <w:r w:rsidRPr="001F131C">
        <w:rPr>
          <w:szCs w:val="22"/>
        </w:rPr>
        <w:t>LinkedIn</w:t>
      </w:r>
      <w:proofErr w:type="spellEnd"/>
      <w:r w:rsidRPr="001F131C">
        <w:rPr>
          <w:szCs w:val="22"/>
        </w:rPr>
        <w:t xml:space="preserve">, </w:t>
      </w:r>
      <w:proofErr w:type="spellStart"/>
      <w:r w:rsidRPr="001F131C">
        <w:rPr>
          <w:szCs w:val="22"/>
        </w:rPr>
        <w:t>Facebook</w:t>
      </w:r>
      <w:proofErr w:type="spellEnd"/>
      <w:r w:rsidRPr="001F131C">
        <w:rPr>
          <w:szCs w:val="22"/>
        </w:rPr>
        <w:t xml:space="preserve">, </w:t>
      </w:r>
      <w:proofErr w:type="gramStart"/>
      <w:r w:rsidRPr="001F131C">
        <w:rPr>
          <w:szCs w:val="22"/>
        </w:rPr>
        <w:t>nonché</w:t>
      </w:r>
      <w:proofErr w:type="gramEnd"/>
      <w:r w:rsidRPr="001F131C">
        <w:rPr>
          <w:szCs w:val="22"/>
        </w:rPr>
        <w:t xml:space="preserve"> i siti di connessione video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(</w:t>
      </w:r>
      <w:proofErr w:type="spellStart"/>
      <w:r w:rsidRPr="001F131C">
        <w:rPr>
          <w:szCs w:val="22"/>
        </w:rPr>
        <w:t>YouTube</w:t>
      </w:r>
      <w:proofErr w:type="spellEnd"/>
      <w:r w:rsidRPr="001F131C">
        <w:rPr>
          <w:szCs w:val="22"/>
        </w:rPr>
        <w:t xml:space="preserve"> e </w:t>
      </w:r>
      <w:proofErr w:type="spellStart"/>
      <w:r w:rsidRPr="001F131C">
        <w:rPr>
          <w:szCs w:val="22"/>
        </w:rPr>
        <w:t>FlickR</w:t>
      </w:r>
      <w:proofErr w:type="spellEnd"/>
      <w:r w:rsidRPr="001F131C">
        <w:rPr>
          <w:szCs w:val="22"/>
        </w:rPr>
        <w:t xml:space="preserve">). Le attività </w:t>
      </w:r>
      <w:proofErr w:type="gramStart"/>
      <w:r w:rsidRPr="001F131C">
        <w:rPr>
          <w:szCs w:val="22"/>
        </w:rPr>
        <w:t>sui social media</w:t>
      </w:r>
      <w:proofErr w:type="gramEnd"/>
      <w:r w:rsidRPr="001F131C">
        <w:rPr>
          <w:szCs w:val="22"/>
        </w:rPr>
        <w:t xml:space="preserve"> saranno principalmente incentrate sui pareri, sulle riunioni e sugli eventi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. Verranno rafforzati i partenariati con la Commissione europea e con il Parlamento europeo, per la promozione delle attività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. Una dotazione di bilancio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destinata</w:t>
      </w:r>
      <w:r w:rsidR="00263090" w:rsidRPr="001F131C">
        <w:rPr>
          <w:szCs w:val="22"/>
        </w:rPr>
        <w:t xml:space="preserve"> </w:t>
      </w:r>
      <w:r w:rsidRPr="001F131C">
        <w:rPr>
          <w:szCs w:val="22"/>
        </w:rPr>
        <w:t xml:space="preserve">ai post sponsorizzati su </w:t>
      </w:r>
      <w:proofErr w:type="spellStart"/>
      <w:r w:rsidRPr="001F131C">
        <w:rPr>
          <w:szCs w:val="22"/>
        </w:rPr>
        <w:t>LinkedIn</w:t>
      </w:r>
      <w:proofErr w:type="spellEnd"/>
      <w:r w:rsidRPr="001F131C">
        <w:rPr>
          <w:szCs w:val="22"/>
        </w:rPr>
        <w:t xml:space="preserve"> ed ai </w:t>
      </w:r>
      <w:proofErr w:type="spellStart"/>
      <w:r w:rsidRPr="001F131C">
        <w:rPr>
          <w:szCs w:val="22"/>
        </w:rPr>
        <w:t>tweet</w:t>
      </w:r>
      <w:proofErr w:type="spellEnd"/>
      <w:r w:rsidRPr="001F131C">
        <w:rPr>
          <w:szCs w:val="22"/>
        </w:rPr>
        <w:t xml:space="preserve"> sponsorizzati (</w:t>
      </w:r>
      <w:proofErr w:type="spellStart"/>
      <w:r w:rsidRPr="001F131C">
        <w:rPr>
          <w:szCs w:val="22"/>
        </w:rPr>
        <w:t>promoted</w:t>
      </w:r>
      <w:proofErr w:type="spellEnd"/>
      <w:r w:rsidRPr="001F131C">
        <w:rPr>
          <w:szCs w:val="22"/>
        </w:rPr>
        <w:t xml:space="preserve"> </w:t>
      </w:r>
      <w:proofErr w:type="spellStart"/>
      <w:r w:rsidRPr="001F131C">
        <w:rPr>
          <w:szCs w:val="22"/>
        </w:rPr>
        <w:t>tweet</w:t>
      </w:r>
      <w:proofErr w:type="spellEnd"/>
      <w:r w:rsidRPr="001F131C">
        <w:rPr>
          <w:szCs w:val="22"/>
        </w:rPr>
        <w:t>).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>Oltre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attuazione del piano di comunicazione per il sito web, la manutenzione e agli aggiornamenti giornalieri, nel 2016 </w:t>
      </w:r>
      <w:proofErr w:type="gramStart"/>
      <w:r w:rsidRPr="001F131C">
        <w:rPr>
          <w:szCs w:val="22"/>
        </w:rPr>
        <w:t>verranno</w:t>
      </w:r>
      <w:proofErr w:type="gramEnd"/>
      <w:r w:rsidRPr="001F131C">
        <w:rPr>
          <w:szCs w:val="22"/>
        </w:rPr>
        <w:t xml:space="preserve"> realizzati diversi progetti importanti per il sito web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che comprenderanno, tra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altro, il passaggio ad un </w:t>
      </w:r>
      <w:r w:rsidRPr="001F131C">
        <w:rPr>
          <w:b/>
          <w:szCs w:val="22"/>
        </w:rPr>
        <w:t>sito web dal design responsivo</w:t>
      </w:r>
      <w:r w:rsidRPr="001F131C">
        <w:rPr>
          <w:szCs w:val="22"/>
        </w:rPr>
        <w:t xml:space="preserve">, lo sviluppo di uno strumento per importare le </w:t>
      </w:r>
      <w:r w:rsidRPr="001F131C">
        <w:rPr>
          <w:b/>
          <w:szCs w:val="22"/>
        </w:rPr>
        <w:t>traduzioni</w:t>
      </w:r>
      <w:r w:rsidRPr="001F131C">
        <w:rPr>
          <w:szCs w:val="22"/>
        </w:rPr>
        <w:t xml:space="preserve">, e una riorganizzazione della sezione eventi al fine di agevolare il recupero dei contenuti.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attuato un piano di promozione per il sito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allo scopo di attrarre nuovi visitatori e promuovere la conversione e la lealtà. Tale piano si baserà su un </w:t>
      </w:r>
      <w:r w:rsidRPr="001F131C">
        <w:rPr>
          <w:b/>
          <w:szCs w:val="22"/>
        </w:rPr>
        <w:t xml:space="preserve">nuovo </w:t>
      </w:r>
      <w:proofErr w:type="gramStart"/>
      <w:r w:rsidRPr="001F131C">
        <w:rPr>
          <w:b/>
          <w:szCs w:val="22"/>
        </w:rPr>
        <w:t>posizionamento</w:t>
      </w:r>
      <w:proofErr w:type="gramEnd"/>
      <w:r w:rsidRPr="001F131C">
        <w:rPr>
          <w:b/>
          <w:szCs w:val="22"/>
        </w:rPr>
        <w:t xml:space="preserve"> della </w:t>
      </w:r>
      <w:proofErr w:type="spellStart"/>
      <w:r w:rsidRPr="001F131C">
        <w:rPr>
          <w:b/>
          <w:szCs w:val="22"/>
        </w:rPr>
        <w:t>eNewsletter</w:t>
      </w:r>
      <w:proofErr w:type="spellEnd"/>
      <w:r w:rsidRPr="001F131C">
        <w:rPr>
          <w:b/>
          <w:szCs w:val="22"/>
        </w:rPr>
        <w:t xml:space="preserve"> - a seguito di un sondaggio in corso tra gli utenti i cui dettagli verranno precisati nella strategia digitale e dei social media -</w:t>
      </w:r>
      <w:r w:rsidRPr="001F131C">
        <w:rPr>
          <w:szCs w:val="22"/>
        </w:rPr>
        <w:t xml:space="preserve"> su attività sui social media, su campagne per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acquisizione e la visibilità attraverso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ottimizzazione dei motori di ricerca e la pubblicità</w:t>
      </w:r>
      <w:r w:rsidR="00263090" w:rsidRPr="001F131C">
        <w:rPr>
          <w:szCs w:val="22"/>
        </w:rPr>
        <w:t xml:space="preserve"> </w:t>
      </w:r>
      <w:r w:rsidRPr="001F131C">
        <w:rPr>
          <w:szCs w:val="22"/>
        </w:rPr>
        <w:t>sui motori di ricerca, con una dotazione di bilancio per i link sponsorizzati su Google (</w:t>
      </w:r>
      <w:proofErr w:type="spellStart"/>
      <w:r w:rsidRPr="001F131C">
        <w:rPr>
          <w:szCs w:val="22"/>
        </w:rPr>
        <w:t>AdWords</w:t>
      </w:r>
      <w:proofErr w:type="spellEnd"/>
      <w:r w:rsidRPr="001F131C">
        <w:rPr>
          <w:szCs w:val="22"/>
        </w:rPr>
        <w:t>, ecc.), e la riorganizzazione di alcune sezioni del sito.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In parallelo, il </w:t>
      </w:r>
      <w:r w:rsidRPr="001F131C">
        <w:rPr>
          <w:b/>
          <w:szCs w:val="22"/>
        </w:rPr>
        <w:t xml:space="preserve">sito web del </w:t>
      </w:r>
      <w:proofErr w:type="spellStart"/>
      <w:r w:rsidRPr="001F131C">
        <w:rPr>
          <w:b/>
          <w:szCs w:val="22"/>
        </w:rPr>
        <w:t>CdR</w:t>
      </w:r>
      <w:proofErr w:type="spellEnd"/>
      <w:r w:rsidRPr="001F131C">
        <w:rPr>
          <w:b/>
          <w:szCs w:val="22"/>
        </w:rPr>
        <w:t xml:space="preserve"> sarà ristrutturato</w:t>
      </w:r>
      <w:r w:rsidRPr="001F131C">
        <w:rPr>
          <w:szCs w:val="22"/>
        </w:rPr>
        <w:t xml:space="preserve"> sulla base della strategia digitale e dei media sociali, a causa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obsolescenza di </w:t>
      </w:r>
      <w:proofErr w:type="spellStart"/>
      <w:r w:rsidRPr="001F131C">
        <w:rPr>
          <w:szCs w:val="22"/>
        </w:rPr>
        <w:t>Sharepoint</w:t>
      </w:r>
      <w:proofErr w:type="spellEnd"/>
      <w:r w:rsidRPr="001F131C">
        <w:rPr>
          <w:szCs w:val="22"/>
        </w:rPr>
        <w:t xml:space="preserve"> 2010 e dello sviluppo di un approccio volto a rendere il sito web compatibile con i dispositivi mobili. In tale </w:t>
      </w:r>
      <w:proofErr w:type="gramStart"/>
      <w:r w:rsidRPr="001F131C">
        <w:rPr>
          <w:szCs w:val="22"/>
        </w:rPr>
        <w:t>contesto</w:t>
      </w:r>
      <w:proofErr w:type="gramEnd"/>
      <w:r w:rsidRPr="001F131C">
        <w:rPr>
          <w:szCs w:val="22"/>
        </w:rPr>
        <w:t xml:space="preserve"> verrà anche valutata la politica linguistica del sito web.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Per quanto riguarda la base dati di diffusione, lo strumento esistente sarà progressivamente abbandonato nel 2016 e sostituito da uno nuovo. 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lastRenderedPageBreak/>
        <w:t xml:space="preserve">In seguito alla decisione riguardante un nuovo logo per il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elaborato e adottato un </w:t>
      </w:r>
      <w:r w:rsidRPr="001F131C">
        <w:rPr>
          <w:b/>
          <w:szCs w:val="22"/>
        </w:rPr>
        <w:t>diagramma grafico</w:t>
      </w:r>
      <w:r w:rsidRPr="001F131C">
        <w:rPr>
          <w:szCs w:val="22"/>
        </w:rPr>
        <w:t xml:space="preserve">. La nuova identità visiva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progressivamente inserita nei prodotti esistenti durante il 2016. Per armonizzare le comunicazioni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e aumentarne l'impatto,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elaborato un </w:t>
      </w:r>
      <w:r w:rsidRPr="001F131C">
        <w:rPr>
          <w:b/>
          <w:szCs w:val="22"/>
        </w:rPr>
        <w:t>catalogo di prodotti</w:t>
      </w:r>
      <w:r w:rsidRPr="001F131C">
        <w:rPr>
          <w:szCs w:val="22"/>
        </w:rPr>
        <w:t xml:space="preserve"> (opuscoli, volantini, pieghevoli, </w:t>
      </w:r>
      <w:proofErr w:type="spellStart"/>
      <w:r w:rsidRPr="001F131C">
        <w:rPr>
          <w:szCs w:val="22"/>
        </w:rPr>
        <w:t>roll</w:t>
      </w:r>
      <w:proofErr w:type="spellEnd"/>
      <w:r w:rsidRPr="001F131C">
        <w:rPr>
          <w:szCs w:val="22"/>
        </w:rPr>
        <w:t>-up, presentazioni PowerPoint, ecc.) con una forte dimensione digitale, destinati alle commissioni, che potranno utilizzarli come strumento per presentarsi e per coprire i propri lavori consultivi/riunioni/eventi.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>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inizio del 2016,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messa a punto una </w:t>
      </w:r>
      <w:r w:rsidRPr="001F131C">
        <w:rPr>
          <w:b/>
          <w:szCs w:val="22"/>
        </w:rPr>
        <w:t>nuova strategia per le pubblicazioni in formato digitale e cartaceo</w:t>
      </w:r>
      <w:r w:rsidRPr="001F131C">
        <w:rPr>
          <w:szCs w:val="22"/>
        </w:rPr>
        <w:t xml:space="preserve">. La priorità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attribuita alla diffusione di nuovi prodotti intesi a rafforzare le sinergie tra pubblicazioni web e cartacee. Indagini </w:t>
      </w:r>
      <w:proofErr w:type="gramStart"/>
      <w:r w:rsidRPr="001F131C">
        <w:rPr>
          <w:szCs w:val="22"/>
        </w:rPr>
        <w:t>sulle pubblicazioni chiave</w:t>
      </w:r>
      <w:proofErr w:type="gramEnd"/>
      <w:r w:rsidRPr="001F131C">
        <w:rPr>
          <w:szCs w:val="22"/>
        </w:rPr>
        <w:t xml:space="preserve"> verranno condotte in collaborazione con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Ufficio delle pubblicazioni e i risultati saranno utilizzati per contribuire a conseguire gli obiettivi di una maggiore digitalizzazione e di un uso ottimale della stampa su richiesta.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inizio del 2016,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sviluppato uno strumento di animazione basato sul web, ispirato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opuscolo </w:t>
      </w:r>
      <w:r w:rsidRPr="001F131C">
        <w:rPr>
          <w:i/>
          <w:szCs w:val="22"/>
        </w:rPr>
        <w:t>Le priorità politiche del Comitato delle regioni per il periodo 2015-2020</w:t>
      </w:r>
      <w:r w:rsidRPr="001F131C">
        <w:rPr>
          <w:szCs w:val="22"/>
        </w:rPr>
        <w:t xml:space="preserve">, da utilizzare nelle varie piattaforme digitali esistenti e per le presentazioni ai visitatori. La principale pubblicazione stampata de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la newsletter </w:t>
      </w:r>
      <w:r w:rsidR="00263090" w:rsidRPr="001F131C">
        <w:rPr>
          <w:i/>
          <w:szCs w:val="22"/>
        </w:rPr>
        <w:t>Regioni</w:t>
      </w:r>
      <w:r w:rsidRPr="001F131C">
        <w:rPr>
          <w:i/>
          <w:szCs w:val="22"/>
        </w:rPr>
        <w:t xml:space="preserve"> e città d</w:t>
      </w:r>
      <w:r w:rsidR="00263090" w:rsidRPr="001F131C">
        <w:rPr>
          <w:i/>
          <w:szCs w:val="22"/>
        </w:rPr>
        <w:t>'</w:t>
      </w:r>
      <w:r w:rsidRPr="001F131C">
        <w:rPr>
          <w:i/>
          <w:szCs w:val="22"/>
        </w:rPr>
        <w:t>Europa</w:t>
      </w:r>
      <w:r w:rsidRPr="001F131C">
        <w:rPr>
          <w:szCs w:val="22"/>
        </w:rPr>
        <w:t>, formerà oggetto di una valutazione in febbraio, che riguarderà il formato e la linea editoriale.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Heading1"/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Valutazione e analisi d'impatto 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40397A" w:rsidP="001F131C">
      <w:pPr>
        <w:spacing w:line="240" w:lineRule="auto"/>
        <w:rPr>
          <w:szCs w:val="22"/>
        </w:rPr>
      </w:pPr>
      <w:r w:rsidRPr="001F131C">
        <w:rPr>
          <w:szCs w:val="22"/>
        </w:rPr>
        <w:t>I progressi compiuti nell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attuazione di questo piano di comunicazione saranno monitorati costantemente a tre livelli dalla direzione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in stretta collaborazione con il gruppo di comunicatori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istituito nel settembre 2015:</w:t>
      </w:r>
    </w:p>
    <w:p w:rsidR="00D80169" w:rsidRPr="001F131C" w:rsidRDefault="00D80169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ListParagraph"/>
        <w:numPr>
          <w:ilvl w:val="0"/>
          <w:numId w:val="10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la</w:t>
      </w:r>
      <w:proofErr w:type="gramEnd"/>
      <w:r w:rsidRPr="001F131C">
        <w:rPr>
          <w:rFonts w:ascii="Times New Roman" w:hAnsi="Times New Roman"/>
        </w:rPr>
        <w:t xml:space="preserve"> fornitura dei prodotti e servizi di comunicazione citati nei capitoli precedenti (in relazione agli obiettivi menzionati);</w:t>
      </w:r>
    </w:p>
    <w:p w:rsidR="00601931" w:rsidRPr="001F131C" w:rsidRDefault="00601931" w:rsidP="001F131C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l'</w:t>
      </w:r>
      <w:proofErr w:type="gramEnd"/>
      <w:r w:rsidRPr="001F131C">
        <w:rPr>
          <w:rFonts w:ascii="Times New Roman" w:hAnsi="Times New Roman"/>
        </w:rPr>
        <w:t>efficienza dei prodotti e dei servizi;</w:t>
      </w:r>
    </w:p>
    <w:p w:rsidR="00601931" w:rsidRPr="001F131C" w:rsidRDefault="00601931" w:rsidP="001F131C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l</w:t>
      </w:r>
      <w:r w:rsidR="00263090" w:rsidRPr="001F131C">
        <w:rPr>
          <w:rFonts w:ascii="Times New Roman" w:hAnsi="Times New Roman"/>
        </w:rPr>
        <w:t>'</w:t>
      </w:r>
      <w:proofErr w:type="gramEnd"/>
      <w:r w:rsidRPr="001F131C">
        <w:rPr>
          <w:rFonts w:ascii="Times New Roman" w:hAnsi="Times New Roman"/>
        </w:rPr>
        <w:t xml:space="preserve">impatto globale delle attività di comunicazione sulla percezione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tra i principali gruppi di destinatari.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 risultati di questo processo di monitoraggio saranno esposti nella relazione annuale sulla comunicazione 2016, che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presentata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Ufficio di presidenza nel primo semestre 2017.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szCs w:val="22"/>
        </w:rPr>
        <w:t xml:space="preserve">Una serie </w:t>
      </w:r>
      <w:proofErr w:type="gramStart"/>
      <w:r w:rsidRPr="001F131C">
        <w:rPr>
          <w:szCs w:val="22"/>
        </w:rPr>
        <w:t xml:space="preserve">di </w:t>
      </w:r>
      <w:proofErr w:type="gramEnd"/>
      <w:r w:rsidRPr="001F131C">
        <w:rPr>
          <w:b/>
          <w:szCs w:val="22"/>
        </w:rPr>
        <w:t>indicatori operativi dei risultati</w:t>
      </w:r>
      <w:r w:rsidRPr="001F131C">
        <w:rPr>
          <w:szCs w:val="22"/>
        </w:rPr>
        <w:t xml:space="preserve"> è stata messa a punto per i vari strumenti e canali, per misurarne l'efficienza. L'elenco degli indicatori figura nell'allegato II.</w:t>
      </w:r>
      <w:r w:rsidRPr="001F131C">
        <w:rPr>
          <w:b/>
          <w:szCs w:val="22"/>
        </w:rPr>
        <w:t xml:space="preserve"> </w:t>
      </w:r>
    </w:p>
    <w:p w:rsidR="00F06EC8" w:rsidRPr="001F131C" w:rsidRDefault="00F06EC8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>L</w:t>
      </w:r>
      <w:r w:rsidR="00263090" w:rsidRPr="001F131C">
        <w:rPr>
          <w:szCs w:val="22"/>
        </w:rPr>
        <w:t>'</w:t>
      </w:r>
      <w:r w:rsidRPr="001F131C">
        <w:rPr>
          <w:b/>
          <w:szCs w:val="22"/>
        </w:rPr>
        <w:t>impatto</w:t>
      </w:r>
      <w:r w:rsidRPr="001F131C">
        <w:rPr>
          <w:szCs w:val="22"/>
        </w:rPr>
        <w:t xml:space="preserve"> sarà valutato </w:t>
      </w:r>
      <w:proofErr w:type="gramStart"/>
      <w:r w:rsidRPr="001F131C">
        <w:rPr>
          <w:szCs w:val="22"/>
        </w:rPr>
        <w:t>sulla base di</w:t>
      </w:r>
      <w:proofErr w:type="gramEnd"/>
      <w:r w:rsidRPr="001F131C">
        <w:rPr>
          <w:szCs w:val="22"/>
        </w:rPr>
        <w:t xml:space="preserve"> sondaggi sulla percezione per misurare la valutazione degli utenti rispetto a precisi criteri di base definiti qui di seguito.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 gennaio/febbraio 2016, la direzione Comunicazione </w:t>
      </w:r>
      <w:proofErr w:type="gramStart"/>
      <w:r w:rsidRPr="001F131C">
        <w:rPr>
          <w:szCs w:val="22"/>
        </w:rPr>
        <w:t>effettuerà</w:t>
      </w:r>
      <w:proofErr w:type="gramEnd"/>
      <w:r w:rsidRPr="001F131C">
        <w:rPr>
          <w:szCs w:val="22"/>
        </w:rPr>
        <w:t xml:space="preserve"> una </w:t>
      </w:r>
      <w:r w:rsidRPr="001F131C">
        <w:rPr>
          <w:b/>
          <w:szCs w:val="22"/>
        </w:rPr>
        <w:t>valutazione</w:t>
      </w:r>
      <w:r w:rsidRPr="001F131C">
        <w:rPr>
          <w:szCs w:val="22"/>
        </w:rPr>
        <w:t xml:space="preserve"> incentrata su gruppi specifici, che servirà da riferimento per valutare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impatto del piano di comunicazione 2015 (15 interviste qualitative strutturate con le parti interessate interne ed esterne nonché con i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e un sondaggio online, con un obiettivo minimo di 200 risposte). Una procedura di valutazione analoga sarà ripetuta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inizio del 2017 per misurare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impatto delle attività di comunicazione tra i principali gruppi di destinatari. I risultati saranno inoltre messi in relazione con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analisi condotta durante il primo semestre del 2015, nell'ambito del processo di elaborazione </w:t>
      </w:r>
      <w:proofErr w:type="gramStart"/>
      <w:r w:rsidRPr="001F131C">
        <w:rPr>
          <w:szCs w:val="22"/>
        </w:rPr>
        <w:t>della</w:t>
      </w:r>
      <w:proofErr w:type="gramEnd"/>
      <w:r w:rsidRPr="001F131C">
        <w:rPr>
          <w:szCs w:val="22"/>
        </w:rPr>
        <w:t xml:space="preserve"> strategia per il periodo 2015-2020. Inoltre, le valutazioni delle attività di comunicazione specifiche - quali pacchetti informativi, attività per la stampa/i media, eventi, strumenti web e online - </w:t>
      </w:r>
      <w:proofErr w:type="gramStart"/>
      <w:r w:rsidRPr="001F131C">
        <w:rPr>
          <w:szCs w:val="22"/>
        </w:rPr>
        <w:t>verranno</w:t>
      </w:r>
      <w:proofErr w:type="gramEnd"/>
      <w:r w:rsidRPr="001F131C">
        <w:rPr>
          <w:szCs w:val="22"/>
        </w:rPr>
        <w:t xml:space="preserve"> effettuate con i gruppi di destinatari pertinenti (membri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giornalisti, partecipanti, utenti del sito web)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Nelle </w:t>
      </w:r>
      <w:r w:rsidRPr="001F131C">
        <w:rPr>
          <w:b/>
          <w:szCs w:val="22"/>
        </w:rPr>
        <w:t>interviste</w:t>
      </w:r>
      <w:r w:rsidRPr="001F131C">
        <w:rPr>
          <w:szCs w:val="22"/>
        </w:rPr>
        <w:t xml:space="preserve"> (</w:t>
      </w:r>
      <w:proofErr w:type="gramStart"/>
      <w:r w:rsidRPr="001F131C">
        <w:rPr>
          <w:szCs w:val="22"/>
        </w:rPr>
        <w:t>sulla base di</w:t>
      </w:r>
      <w:proofErr w:type="gramEnd"/>
      <w:r w:rsidRPr="001F131C">
        <w:rPr>
          <w:szCs w:val="22"/>
        </w:rPr>
        <w:t xml:space="preserve"> un campione composto da membri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, partner istituzionali dell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UE e attori regionali/locali), si valuterà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accoglienza delle attività di comunicazione (sensibilizzazione, partecipazione, valutazione), in particolare delle tre campagne tematiche. 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Nel </w:t>
      </w:r>
      <w:r w:rsidRPr="001F131C">
        <w:rPr>
          <w:b/>
          <w:szCs w:val="22"/>
        </w:rPr>
        <w:t>sondaggio online</w:t>
      </w:r>
      <w:r w:rsidRPr="001F131C">
        <w:rPr>
          <w:szCs w:val="22"/>
        </w:rPr>
        <w:t xml:space="preserve">, alle parti interessate locali e regionali (compresi i membri) sarà chiesto se: </w:t>
      </w:r>
    </w:p>
    <w:p w:rsidR="00D80169" w:rsidRPr="001F131C" w:rsidRDefault="00D80169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hanno</w:t>
      </w:r>
      <w:proofErr w:type="gramEnd"/>
      <w:r w:rsidRPr="001F131C">
        <w:rPr>
          <w:rFonts w:ascii="Times New Roman" w:hAnsi="Times New Roman"/>
        </w:rPr>
        <w:t xml:space="preserve"> visto o sentito parlare delle attività di comunicazione sulle tre campagne tematiche (obiettivo: 5</w:t>
      </w:r>
      <w:r w:rsidR="00263090" w:rsidRPr="001F131C">
        <w:rPr>
          <w:rFonts w:ascii="Times New Roman" w:hAnsi="Times New Roman"/>
        </w:rPr>
        <w:t>0 %</w:t>
      </w:r>
      <w:r w:rsidRPr="001F131C">
        <w:rPr>
          <w:rFonts w:ascii="Times New Roman" w:hAnsi="Times New Roman"/>
        </w:rPr>
        <w:t>, nessun valore di base disponibile);</w:t>
      </w:r>
    </w:p>
    <w:p w:rsidR="00601931" w:rsidRPr="001F131C" w:rsidRDefault="00601931" w:rsidP="001F131C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ritengono</w:t>
      </w:r>
      <w:proofErr w:type="gramEnd"/>
      <w:r w:rsidRPr="001F131C">
        <w:rPr>
          <w:rFonts w:ascii="Times New Roman" w:hAnsi="Times New Roman"/>
        </w:rPr>
        <w:t xml:space="preserve"> che il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>, come organo, influenzi il processo politico dell'UE da un punto di vista locale/regionale (obiettivo: risultato medio di 3,5 su 5; valore di base 2015: 3,15);</w:t>
      </w:r>
    </w:p>
    <w:p w:rsidR="00302530" w:rsidRPr="001F131C" w:rsidRDefault="00302530" w:rsidP="001F131C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giudicano</w:t>
      </w:r>
      <w:proofErr w:type="gramEnd"/>
      <w:r w:rsidRPr="001F131C">
        <w:rPr>
          <w:rFonts w:ascii="Times New Roman" w:hAnsi="Times New Roman"/>
        </w:rPr>
        <w:t xml:space="preserve"> utili i servizi e gli strumenti di comunicazione forniti dal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>.</w:t>
      </w:r>
    </w:p>
    <w:p w:rsidR="00F06EC8" w:rsidRPr="001F131C" w:rsidRDefault="00F06EC8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spacing w:line="240" w:lineRule="auto"/>
        <w:rPr>
          <w:szCs w:val="22"/>
        </w:rPr>
      </w:pPr>
      <w:r w:rsidRPr="001F131C">
        <w:rPr>
          <w:szCs w:val="22"/>
        </w:rPr>
        <w:t xml:space="preserve">Il sondaggio online comprenderà anche alcune domande riguardanti la narrativa, il formato e gli strumenti utilizzati nelle comunicazioni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>.</w:t>
      </w:r>
    </w:p>
    <w:p w:rsidR="00601931" w:rsidRPr="001F131C" w:rsidRDefault="00601931" w:rsidP="001F131C">
      <w:pPr>
        <w:spacing w:line="240" w:lineRule="auto"/>
        <w:rPr>
          <w:szCs w:val="22"/>
        </w:rPr>
      </w:pPr>
    </w:p>
    <w:p w:rsidR="00601931" w:rsidRPr="001F131C" w:rsidRDefault="001A7A59" w:rsidP="001F131C">
      <w:pPr>
        <w:pStyle w:val="Heading1"/>
        <w:spacing w:line="240" w:lineRule="auto"/>
        <w:rPr>
          <w:b/>
          <w:szCs w:val="22"/>
        </w:rPr>
      </w:pPr>
      <w:r w:rsidRPr="001F131C">
        <w:rPr>
          <w:b/>
          <w:szCs w:val="22"/>
        </w:rPr>
        <w:t>Risorse e bilancio</w:t>
      </w:r>
    </w:p>
    <w:p w:rsidR="00F06EC8" w:rsidRPr="001F131C" w:rsidRDefault="00F06EC8" w:rsidP="001F131C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1F131C" w:rsidRDefault="00601931" w:rsidP="001F131C">
      <w:pPr>
        <w:tabs>
          <w:tab w:val="left" w:pos="1290"/>
        </w:tabs>
        <w:spacing w:line="240" w:lineRule="auto"/>
        <w:rPr>
          <w:szCs w:val="22"/>
        </w:rPr>
      </w:pPr>
      <w:r w:rsidRPr="001F131C">
        <w:rPr>
          <w:szCs w:val="22"/>
        </w:rPr>
        <w:t xml:space="preserve">Il piano di comunicazione per il 2016 sarà attuato con risorse simili a quelle disponibili negli anni precedenti. La direzione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dispone </w:t>
      </w:r>
      <w:proofErr w:type="gramStart"/>
      <w:r w:rsidRPr="001F131C">
        <w:rPr>
          <w:szCs w:val="22"/>
        </w:rPr>
        <w:t>attualmente</w:t>
      </w:r>
      <w:proofErr w:type="gramEnd"/>
      <w:r w:rsidRPr="001F131C">
        <w:rPr>
          <w:szCs w:val="22"/>
        </w:rPr>
        <w:t xml:space="preserve"> di un organico di 51 persone. Le attività di comunicazione sono coordinate con altri servizi e con le segreterie dei gruppi politici.</w:t>
      </w:r>
    </w:p>
    <w:p w:rsidR="001A7A59" w:rsidRPr="001F131C" w:rsidRDefault="001A7A59" w:rsidP="001F131C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1F131C" w:rsidRDefault="00601931" w:rsidP="001F131C">
      <w:pPr>
        <w:tabs>
          <w:tab w:val="left" w:pos="1290"/>
        </w:tabs>
        <w:spacing w:line="240" w:lineRule="auto"/>
        <w:rPr>
          <w:szCs w:val="22"/>
        </w:rPr>
      </w:pPr>
      <w:r w:rsidRPr="001F131C">
        <w:rPr>
          <w:szCs w:val="22"/>
        </w:rPr>
        <w:t>Il bilancio operativo annuale resta pari a 1,9 milioni di euro.</w:t>
      </w:r>
    </w:p>
    <w:p w:rsidR="001A7A59" w:rsidRPr="001F131C" w:rsidRDefault="001A7A59" w:rsidP="001F131C">
      <w:pPr>
        <w:tabs>
          <w:tab w:val="left" w:pos="1290"/>
        </w:tabs>
        <w:spacing w:line="240" w:lineRule="auto"/>
        <w:rPr>
          <w:szCs w:val="22"/>
        </w:rPr>
      </w:pPr>
    </w:p>
    <w:p w:rsidR="00601931" w:rsidRPr="001F131C" w:rsidRDefault="00601931" w:rsidP="001F131C">
      <w:pPr>
        <w:tabs>
          <w:tab w:val="left" w:pos="1290"/>
        </w:tabs>
        <w:spacing w:line="240" w:lineRule="auto"/>
        <w:rPr>
          <w:szCs w:val="22"/>
        </w:rPr>
      </w:pPr>
      <w:r w:rsidRPr="001F131C">
        <w:rPr>
          <w:szCs w:val="22"/>
        </w:rPr>
        <w:t xml:space="preserve">Una ripartizione dettagliata del bilancio, suddiviso per linea di bilancio e settore di attività, </w:t>
      </w:r>
      <w:proofErr w:type="gramStart"/>
      <w:r w:rsidRPr="001F131C">
        <w:rPr>
          <w:szCs w:val="22"/>
        </w:rPr>
        <w:t>verrà</w:t>
      </w:r>
      <w:proofErr w:type="gramEnd"/>
      <w:r w:rsidRPr="001F131C">
        <w:rPr>
          <w:szCs w:val="22"/>
        </w:rPr>
        <w:t xml:space="preserve"> presentata alla CAFA all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inizio del 2016.</w:t>
      </w:r>
    </w:p>
    <w:p w:rsidR="00601931" w:rsidRPr="001F131C" w:rsidRDefault="00601931" w:rsidP="001F131C">
      <w:pPr>
        <w:spacing w:line="240" w:lineRule="auto"/>
        <w:rPr>
          <w:b/>
          <w:szCs w:val="22"/>
        </w:rPr>
      </w:pPr>
    </w:p>
    <w:p w:rsidR="00601931" w:rsidRPr="001F131C" w:rsidRDefault="00A30EE6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Allegati: </w:t>
      </w:r>
      <w:proofErr w:type="gramStart"/>
      <w:r w:rsidRPr="001F131C">
        <w:rPr>
          <w:b/>
          <w:szCs w:val="22"/>
        </w:rPr>
        <w:t>3</w:t>
      </w:r>
      <w:proofErr w:type="gramEnd"/>
    </w:p>
    <w:p w:rsidR="00F06EC8" w:rsidRPr="001F131C" w:rsidRDefault="00F06EC8" w:rsidP="001F131C">
      <w:pPr>
        <w:spacing w:line="240" w:lineRule="auto"/>
        <w:rPr>
          <w:b/>
          <w:szCs w:val="22"/>
        </w:rPr>
      </w:pPr>
    </w:p>
    <w:p w:rsidR="00F06EC8" w:rsidRPr="001F131C" w:rsidRDefault="00F06EC8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bCs/>
          <w:szCs w:val="22"/>
        </w:rPr>
      </w:pPr>
      <w:r w:rsidRPr="001F131C">
        <w:rPr>
          <w:b/>
          <w:szCs w:val="22"/>
        </w:rPr>
        <w:t>PROPOSTA</w:t>
      </w:r>
    </w:p>
    <w:p w:rsidR="00601931" w:rsidRPr="001F131C" w:rsidRDefault="00601931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bCs/>
          <w:szCs w:val="22"/>
        </w:rPr>
      </w:pPr>
      <w:proofErr w:type="gramStart"/>
      <w:r w:rsidRPr="001F131C">
        <w:rPr>
          <w:b/>
          <w:szCs w:val="22"/>
        </w:rPr>
        <w:t xml:space="preserve">Si </w:t>
      </w:r>
      <w:proofErr w:type="gramEnd"/>
      <w:r w:rsidRPr="001F131C">
        <w:rPr>
          <w:b/>
          <w:szCs w:val="22"/>
        </w:rPr>
        <w:t>invitano i membri dell'Ufficio di presidenza ad approvare il presente documento.</w:t>
      </w:r>
    </w:p>
    <w:p w:rsidR="00601931" w:rsidRPr="001F131C" w:rsidRDefault="00601931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jc w:val="center"/>
        <w:rPr>
          <w:b/>
          <w:szCs w:val="22"/>
          <w:u w:val="single"/>
        </w:rPr>
      </w:pPr>
      <w:r w:rsidRPr="001F131C">
        <w:rPr>
          <w:szCs w:val="22"/>
        </w:rPr>
        <w:br w:type="page"/>
      </w:r>
      <w:r w:rsidR="00263090" w:rsidRPr="001F131C">
        <w:rPr>
          <w:b/>
          <w:szCs w:val="22"/>
          <w:u w:val="single"/>
        </w:rPr>
        <w:lastRenderedPageBreak/>
        <w:t>Allegato I -</w:t>
      </w:r>
      <w:r w:rsidRPr="001F131C">
        <w:rPr>
          <w:b/>
          <w:szCs w:val="22"/>
          <w:u w:val="single"/>
        </w:rPr>
        <w:t xml:space="preserve"> Panoramica delle attività di comunicazione specifiche per il </w:t>
      </w:r>
      <w:proofErr w:type="gramStart"/>
      <w:r w:rsidRPr="001F131C">
        <w:rPr>
          <w:b/>
          <w:szCs w:val="22"/>
          <w:u w:val="single"/>
        </w:rPr>
        <w:t>2016</w:t>
      </w:r>
      <w:proofErr w:type="gramEnd"/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Stampa e mezzi di comunicazione</w:t>
      </w:r>
    </w:p>
    <w:p w:rsidR="00DD3A9A" w:rsidRPr="001F131C" w:rsidRDefault="00DD3A9A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Sviluppare e distribuire </w:t>
      </w:r>
      <w:r w:rsidRPr="001F131C">
        <w:rPr>
          <w:rFonts w:ascii="Times New Roman" w:hAnsi="Times New Roman"/>
          <w:b/>
        </w:rPr>
        <w:t xml:space="preserve">pacchetti informativi per i membri del </w:t>
      </w:r>
      <w:proofErr w:type="spellStart"/>
      <w:r w:rsidRPr="001F131C">
        <w:rPr>
          <w:rFonts w:ascii="Times New Roman" w:hAnsi="Times New Roman"/>
          <w:b/>
        </w:rPr>
        <w:t>CdR</w:t>
      </w:r>
      <w:proofErr w:type="spellEnd"/>
      <w:r w:rsidRPr="001F131C">
        <w:rPr>
          <w:rFonts w:ascii="Times New Roman" w:hAnsi="Times New Roman"/>
        </w:rPr>
        <w:t>.</w:t>
      </w:r>
    </w:p>
    <w:p w:rsidR="00601931" w:rsidRPr="001F131C" w:rsidRDefault="00601931" w:rsidP="001F131C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Diffondere a Bruxelles e alla stampa e ai media locali una serie di </w:t>
      </w:r>
      <w:r w:rsidRPr="001F131C">
        <w:rPr>
          <w:rFonts w:ascii="Times New Roman" w:hAnsi="Times New Roman"/>
          <w:b/>
        </w:rPr>
        <w:t>"storie locali sull'UE"</w:t>
      </w:r>
      <w:r w:rsidRPr="001F131C">
        <w:rPr>
          <w:rFonts w:ascii="Times New Roman" w:hAnsi="Times New Roman"/>
        </w:rPr>
        <w:t xml:space="preserve"> sviluppate con i relatori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e le segreterie dei gruppi politici, e collegate alla preparazione e all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adozione di un numero selezionato di pareri ed eventi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, </w:t>
      </w:r>
      <w:proofErr w:type="gramStart"/>
      <w:r w:rsidRPr="001F131C">
        <w:rPr>
          <w:rFonts w:ascii="Times New Roman" w:hAnsi="Times New Roman"/>
        </w:rPr>
        <w:t>nonché</w:t>
      </w:r>
      <w:proofErr w:type="gramEnd"/>
      <w:r w:rsidRPr="001F131C">
        <w:rPr>
          <w:rFonts w:ascii="Times New Roman" w:hAnsi="Times New Roman"/>
        </w:rPr>
        <w:t xml:space="preserve"> informazioni raccolte da enti regionali e locali, ad esempio sui progetti che beneficiano di finanziamenti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UE, sulla cooperazione transfrontaliera e sulle buone pratiche nella pubblica amministrazione. </w:t>
      </w:r>
    </w:p>
    <w:p w:rsidR="00601931" w:rsidRPr="001F131C" w:rsidRDefault="00601931" w:rsidP="001F131C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Sviluppare e attuare </w:t>
      </w:r>
      <w:r w:rsidRPr="001F131C">
        <w:rPr>
          <w:rFonts w:ascii="Times New Roman" w:hAnsi="Times New Roman"/>
          <w:b/>
        </w:rPr>
        <w:t>attività di stampa e dei media</w:t>
      </w:r>
      <w:r w:rsidRPr="001F131C">
        <w:rPr>
          <w:rFonts w:ascii="Times New Roman" w:hAnsi="Times New Roman"/>
        </w:rPr>
        <w:t xml:space="preserve"> concentrate sulle tre campagne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 xml:space="preserve"> in cooperazione con il Parlamento europeo, il Consiglio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Unione europea e la Commissione europea, e in collaborazione con i partner dei media nei paesi ARLEM e </w:t>
      </w:r>
      <w:proofErr w:type="spellStart"/>
      <w:r w:rsidRPr="001F131C">
        <w:rPr>
          <w:rFonts w:ascii="Times New Roman" w:hAnsi="Times New Roman"/>
        </w:rPr>
        <w:t>Corleap</w:t>
      </w:r>
      <w:proofErr w:type="spellEnd"/>
      <w:r w:rsidRPr="001F131C">
        <w:rPr>
          <w:rFonts w:ascii="Times New Roman" w:hAnsi="Times New Roman"/>
        </w:rPr>
        <w:t xml:space="preserve"> per quanto riguarda la comunicazione specifica sulla cooperazione mondiale.</w:t>
      </w:r>
    </w:p>
    <w:p w:rsidR="00601931" w:rsidRPr="001F131C" w:rsidRDefault="00601931" w:rsidP="001F131C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Sviluppare ulteriormente 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attuale approccio ai </w:t>
      </w:r>
      <w:r w:rsidRPr="001F131C">
        <w:rPr>
          <w:rFonts w:ascii="Times New Roman" w:hAnsi="Times New Roman"/>
          <w:b/>
        </w:rPr>
        <w:t>partenariati sui media con agenzie di stampa nazionali</w:t>
      </w:r>
      <w:r w:rsidRPr="001F131C">
        <w:rPr>
          <w:rFonts w:ascii="Times New Roman" w:hAnsi="Times New Roman"/>
        </w:rPr>
        <w:t xml:space="preserve"> ed esplorare la possibilità di svilup</w:t>
      </w:r>
      <w:proofErr w:type="gramEnd"/>
      <w:r w:rsidRPr="001F131C">
        <w:rPr>
          <w:rFonts w:ascii="Times New Roman" w:hAnsi="Times New Roman"/>
        </w:rPr>
        <w:t>pare nuovi partenariati con reti televisive e radiofoniche nazionali ed europee.</w:t>
      </w:r>
    </w:p>
    <w:p w:rsidR="00601931" w:rsidRPr="001F131C" w:rsidRDefault="00601931" w:rsidP="001F131C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Presentare le tre campagne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 xml:space="preserve"> in uno o più numeri della rivista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</w:t>
      </w:r>
      <w:r w:rsidR="00263090" w:rsidRPr="001F131C">
        <w:rPr>
          <w:rFonts w:ascii="Times New Roman" w:hAnsi="Times New Roman"/>
          <w:i/>
        </w:rPr>
        <w:t>Regioni</w:t>
      </w:r>
      <w:r w:rsidRPr="001F131C">
        <w:rPr>
          <w:rFonts w:ascii="Times New Roman" w:hAnsi="Times New Roman"/>
          <w:i/>
        </w:rPr>
        <w:t xml:space="preserve"> e città d</w:t>
      </w:r>
      <w:r w:rsidR="00263090" w:rsidRPr="001F131C">
        <w:rPr>
          <w:rFonts w:ascii="Times New Roman" w:hAnsi="Times New Roman"/>
          <w:i/>
        </w:rPr>
        <w:t>'</w:t>
      </w:r>
      <w:r w:rsidRPr="001F131C">
        <w:rPr>
          <w:rFonts w:ascii="Times New Roman" w:hAnsi="Times New Roman"/>
          <w:i/>
        </w:rPr>
        <w:t>Europa</w:t>
      </w:r>
      <w:r w:rsidRPr="001F131C">
        <w:rPr>
          <w:rFonts w:ascii="Times New Roman" w:hAnsi="Times New Roman"/>
        </w:rPr>
        <w:t xml:space="preserve"> (primo semestre del 2016).</w:t>
      </w:r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Eventi </w:t>
      </w:r>
    </w:p>
    <w:p w:rsidR="00DD3A9A" w:rsidRPr="001F131C" w:rsidRDefault="00DD3A9A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 xml:space="preserve">Organizzare la 4a </w:t>
      </w:r>
      <w:r w:rsidRPr="001F131C">
        <w:rPr>
          <w:rFonts w:ascii="Times New Roman" w:hAnsi="Times New Roman"/>
          <w:b/>
        </w:rPr>
        <w:t xml:space="preserve">conferenza annuale del </w:t>
      </w:r>
      <w:proofErr w:type="spellStart"/>
      <w:r w:rsidRPr="001F131C">
        <w:rPr>
          <w:rFonts w:ascii="Times New Roman" w:hAnsi="Times New Roman"/>
          <w:b/>
        </w:rPr>
        <w:t>CdR</w:t>
      </w:r>
      <w:proofErr w:type="spellEnd"/>
      <w:r w:rsidRPr="001F131C">
        <w:rPr>
          <w:rFonts w:ascii="Times New Roman" w:hAnsi="Times New Roman"/>
          <w:b/>
        </w:rPr>
        <w:t xml:space="preserve"> su finanziamenti e investimenti</w:t>
      </w:r>
      <w:r w:rsidRPr="001F131C">
        <w:rPr>
          <w:rFonts w:ascii="Times New Roman" w:hAnsi="Times New Roman"/>
        </w:rPr>
        <w:t xml:space="preserve"> in concomitanza con la sessione plenaria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nel maggio 201</w:t>
      </w:r>
      <w:proofErr w:type="gramEnd"/>
      <w:r w:rsidRPr="001F131C">
        <w:rPr>
          <w:rFonts w:ascii="Times New Roman" w:hAnsi="Times New Roman"/>
        </w:rPr>
        <w:t>6 a Bruxelles, in collaborazione con la Banca europea per gli investimenti (BEI) e 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Organizzazione per la cooperazione e lo sviluppo economico (OCSE). 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Organizzare una </w:t>
      </w:r>
      <w:r w:rsidRPr="001F131C">
        <w:rPr>
          <w:rFonts w:ascii="Times New Roman" w:hAnsi="Times New Roman"/>
          <w:b/>
        </w:rPr>
        <w:t>conferenza ad alto livello sull</w:t>
      </w:r>
      <w:r w:rsidR="00263090" w:rsidRPr="001F131C">
        <w:rPr>
          <w:rFonts w:ascii="Times New Roman" w:hAnsi="Times New Roman"/>
          <w:b/>
        </w:rPr>
        <w:t>'</w:t>
      </w:r>
      <w:r w:rsidRPr="001F131C">
        <w:rPr>
          <w:rFonts w:ascii="Times New Roman" w:hAnsi="Times New Roman"/>
          <w:b/>
        </w:rPr>
        <w:t>agenda urbana dell</w:t>
      </w:r>
      <w:r w:rsidR="00263090" w:rsidRPr="001F131C">
        <w:rPr>
          <w:rFonts w:ascii="Times New Roman" w:hAnsi="Times New Roman"/>
          <w:b/>
        </w:rPr>
        <w:t>'</w:t>
      </w:r>
      <w:r w:rsidRPr="001F131C">
        <w:rPr>
          <w:rFonts w:ascii="Times New Roman" w:hAnsi="Times New Roman"/>
          <w:b/>
        </w:rPr>
        <w:t>UE</w:t>
      </w:r>
      <w:r w:rsidRPr="001F131C">
        <w:rPr>
          <w:rFonts w:ascii="Times New Roman" w:hAnsi="Times New Roman"/>
        </w:rPr>
        <w:t xml:space="preserve"> il 30 e 31 maggio 2016 ad Amsterdam, in concomitanza con una riunione fuori sede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Ufficio di presidenza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e un seminario fuori sede della commissione COTER, </w:t>
      </w:r>
      <w:proofErr w:type="gramStart"/>
      <w:r w:rsidRPr="001F131C">
        <w:rPr>
          <w:rFonts w:ascii="Times New Roman" w:hAnsi="Times New Roman"/>
        </w:rPr>
        <w:t>nel quadro della</w:t>
      </w:r>
      <w:proofErr w:type="gramEnd"/>
      <w:r w:rsidRPr="001F131C">
        <w:rPr>
          <w:rFonts w:ascii="Times New Roman" w:hAnsi="Times New Roman"/>
        </w:rPr>
        <w:t xml:space="preserve"> presidenza olandese del Consiglio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UE, e in collaborazione con la delegazione olandese presso il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e 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>associazione dei comuni olandesi (VNG).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Organizzare il </w:t>
      </w:r>
      <w:r w:rsidRPr="001F131C">
        <w:rPr>
          <w:rFonts w:ascii="Times New Roman" w:hAnsi="Times New Roman"/>
          <w:b/>
        </w:rPr>
        <w:t>settimo vertice europeo delle regioni e delle città</w:t>
      </w:r>
      <w:r w:rsidRPr="001F131C">
        <w:rPr>
          <w:rFonts w:ascii="Times New Roman" w:hAnsi="Times New Roman"/>
        </w:rPr>
        <w:t xml:space="preserve">, con lo slogan "collegare le regioni e le città d'Europa: persone, luoghi e risorse", l'8 e 9 luglio 2016 a Bratislava, assieme alla regione autonoma di Bratislava e alla città di Bratislava, e </w:t>
      </w:r>
      <w:proofErr w:type="gramStart"/>
      <w:r w:rsidRPr="001F131C">
        <w:rPr>
          <w:rFonts w:ascii="Times New Roman" w:hAnsi="Times New Roman"/>
        </w:rPr>
        <w:t>nel quadro della</w:t>
      </w:r>
      <w:proofErr w:type="gramEnd"/>
      <w:r w:rsidRPr="001F131C">
        <w:rPr>
          <w:rFonts w:ascii="Times New Roman" w:hAnsi="Times New Roman"/>
        </w:rPr>
        <w:t xml:space="preserve"> presidenza slovacca del Consiglio dell'Unione europea. 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Organizzare la </w:t>
      </w:r>
      <w:r w:rsidRPr="001F131C">
        <w:rPr>
          <w:rFonts w:ascii="Times New Roman" w:hAnsi="Times New Roman"/>
          <w:b/>
        </w:rPr>
        <w:t xml:space="preserve">14a settimana europea delle regioni e città-Open </w:t>
      </w:r>
      <w:proofErr w:type="spellStart"/>
      <w:r w:rsidRPr="001F131C">
        <w:rPr>
          <w:rFonts w:ascii="Times New Roman" w:hAnsi="Times New Roman"/>
          <w:b/>
        </w:rPr>
        <w:t>Days</w:t>
      </w:r>
      <w:proofErr w:type="spellEnd"/>
      <w:r w:rsidRPr="001F131C">
        <w:rPr>
          <w:rFonts w:ascii="Times New Roman" w:hAnsi="Times New Roman"/>
        </w:rPr>
        <w:t>, tra il 10 e il 13 ottobre 2016 a Bruxelles, in collaborazione con la DG REGIO della Commissione europea e oltre 180 regioni e città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>UE, su temi legati alla politica di coesione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UE, in concomitanza con più di 180 eventi locali negli Stati membri e di concerto con le autorità locali, i centri </w:t>
      </w:r>
      <w:proofErr w:type="gramStart"/>
      <w:r w:rsidRPr="001F131C">
        <w:rPr>
          <w:rFonts w:ascii="Times New Roman" w:hAnsi="Times New Roman"/>
        </w:rPr>
        <w:t xml:space="preserve">di </w:t>
      </w:r>
      <w:proofErr w:type="gramEnd"/>
      <w:r w:rsidRPr="001F131C">
        <w:rPr>
          <w:rFonts w:ascii="Times New Roman" w:hAnsi="Times New Roman"/>
        </w:rPr>
        <w:t>informazione Europe Direct (EDIC) e altri soggetti.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Organizzare la </w:t>
      </w:r>
      <w:r w:rsidRPr="001F131C">
        <w:rPr>
          <w:rFonts w:ascii="Times New Roman" w:hAnsi="Times New Roman"/>
          <w:b/>
        </w:rPr>
        <w:t>settima edizione della Conferenza europea sulla comunicazione pubblica (</w:t>
      </w:r>
      <w:proofErr w:type="spellStart"/>
      <w:r w:rsidRPr="001F131C">
        <w:rPr>
          <w:rFonts w:ascii="Times New Roman" w:hAnsi="Times New Roman"/>
          <w:b/>
        </w:rPr>
        <w:t>EuroPCom</w:t>
      </w:r>
      <w:proofErr w:type="spellEnd"/>
      <w:r w:rsidRPr="001F131C">
        <w:rPr>
          <w:rFonts w:ascii="Times New Roman" w:hAnsi="Times New Roman"/>
          <w:b/>
        </w:rPr>
        <w:t>)</w:t>
      </w:r>
      <w:r w:rsidRPr="001F131C">
        <w:rPr>
          <w:rFonts w:ascii="Times New Roman" w:hAnsi="Times New Roman"/>
        </w:rPr>
        <w:t xml:space="preserve"> </w:t>
      </w:r>
      <w:r w:rsidR="00263090" w:rsidRPr="001F131C">
        <w:rPr>
          <w:rFonts w:ascii="Times New Roman" w:hAnsi="Times New Roman"/>
        </w:rPr>
        <w:t>sul tema</w:t>
      </w:r>
      <w:r w:rsidRPr="001F131C">
        <w:rPr>
          <w:rFonts w:ascii="Times New Roman" w:hAnsi="Times New Roman"/>
        </w:rPr>
        <w:t xml:space="preserve"> "Collegare le basi di dati europee" (da confermare) in ottobre 2016, in</w:t>
      </w:r>
      <w:r w:rsidR="00263090" w:rsidRPr="001F131C">
        <w:rPr>
          <w:rFonts w:ascii="Times New Roman" w:hAnsi="Times New Roman"/>
        </w:rPr>
        <w:t xml:space="preserve"> </w:t>
      </w:r>
      <w:r w:rsidRPr="001F131C">
        <w:rPr>
          <w:rFonts w:ascii="Times New Roman" w:hAnsi="Times New Roman"/>
        </w:rPr>
        <w:t xml:space="preserve">collaborazione con la Commissione europea, il Parlamento </w:t>
      </w:r>
      <w:proofErr w:type="gramStart"/>
      <w:r w:rsidRPr="001F131C">
        <w:rPr>
          <w:rFonts w:ascii="Times New Roman" w:hAnsi="Times New Roman"/>
        </w:rPr>
        <w:t>europeo</w:t>
      </w:r>
      <w:proofErr w:type="gramEnd"/>
      <w:r w:rsidRPr="001F131C">
        <w:rPr>
          <w:rFonts w:ascii="Times New Roman" w:hAnsi="Times New Roman"/>
        </w:rPr>
        <w:t>, il Consiglio dell'UE, la presidenza slovacca del Consiglio dell'UE e il Comitato economico e sociale europeo.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>Organizzare</w:t>
      </w:r>
      <w:r w:rsidRPr="001F131C">
        <w:rPr>
          <w:rFonts w:ascii="Times New Roman" w:hAnsi="Times New Roman"/>
          <w:b/>
        </w:rPr>
        <w:t xml:space="preserve"> tre convegni presso la sede del </w:t>
      </w:r>
      <w:proofErr w:type="spellStart"/>
      <w:r w:rsidRPr="001F131C">
        <w:rPr>
          <w:rFonts w:ascii="Times New Roman" w:hAnsi="Times New Roman"/>
          <w:b/>
        </w:rPr>
        <w:t>CdR</w:t>
      </w:r>
      <w:proofErr w:type="spellEnd"/>
      <w:r w:rsidRPr="001F131C">
        <w:rPr>
          <w:rFonts w:ascii="Times New Roman" w:hAnsi="Times New Roman"/>
          <w:b/>
        </w:rPr>
        <w:t xml:space="preserve"> su priorità </w:t>
      </w:r>
      <w:proofErr w:type="gramStart"/>
      <w:r w:rsidRPr="001F131C">
        <w:rPr>
          <w:rFonts w:ascii="Times New Roman" w:hAnsi="Times New Roman"/>
          <w:b/>
        </w:rPr>
        <w:t>tematiche</w:t>
      </w:r>
      <w:proofErr w:type="gramEnd"/>
      <w:r w:rsidRPr="001F131C">
        <w:rPr>
          <w:rFonts w:ascii="Times New Roman" w:hAnsi="Times New Roman"/>
          <w:b/>
        </w:rPr>
        <w:t xml:space="preserve"> selezionate</w:t>
      </w:r>
      <w:r w:rsidRPr="001F131C">
        <w:rPr>
          <w:rFonts w:ascii="Times New Roman" w:hAnsi="Times New Roman"/>
        </w:rPr>
        <w:t xml:space="preserve"> in concomitanza con le sessioni plenarie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e in collaborazione con le competenti direzioni generali della Commissione europea e altre parti interessate. </w:t>
      </w:r>
    </w:p>
    <w:p w:rsidR="00601931" w:rsidRPr="001F131C" w:rsidRDefault="00601931" w:rsidP="001F131C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Avvalersi delle attuali e di nuove attività di comunicazione degli enti locali e regionali e delle loro associazioni, dei centri </w:t>
      </w:r>
      <w:proofErr w:type="gramStart"/>
      <w:r w:rsidRPr="001F131C">
        <w:rPr>
          <w:rFonts w:ascii="Times New Roman" w:hAnsi="Times New Roman"/>
        </w:rPr>
        <w:t xml:space="preserve">di </w:t>
      </w:r>
      <w:proofErr w:type="gramEnd"/>
      <w:r w:rsidRPr="001F131C">
        <w:rPr>
          <w:rFonts w:ascii="Times New Roman" w:hAnsi="Times New Roman"/>
        </w:rPr>
        <w:t xml:space="preserve">informazione Europe Direct (EDIC), delle rappresentanze della Commissione europea negli Stati membri e degli uffici di informazione del Parlamento europeo (UIPE), e raccomandare che i membri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partecipino ad almeno </w:t>
      </w:r>
      <w:r w:rsidRPr="001F131C">
        <w:rPr>
          <w:rFonts w:ascii="Times New Roman" w:hAnsi="Times New Roman"/>
          <w:b/>
        </w:rPr>
        <w:t>20 eventi locali sotto forma di dialoghi dei cittadini o delle parti interessate</w:t>
      </w:r>
      <w:r w:rsidRPr="001F131C">
        <w:rPr>
          <w:rFonts w:ascii="Times New Roman" w:hAnsi="Times New Roman"/>
        </w:rPr>
        <w:t>, durante tutto 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anno su questa priorità tematica. </w:t>
      </w:r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lastRenderedPageBreak/>
        <w:t>Comunicazione online, social media e pubblicazioni</w:t>
      </w:r>
    </w:p>
    <w:p w:rsidR="00DD3A9A" w:rsidRPr="001F131C" w:rsidRDefault="00DD3A9A" w:rsidP="001F131C">
      <w:pPr>
        <w:spacing w:line="240" w:lineRule="auto"/>
        <w:rPr>
          <w:szCs w:val="22"/>
        </w:rPr>
      </w:pP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Creare un </w:t>
      </w:r>
      <w:r w:rsidRPr="001F131C">
        <w:rPr>
          <w:rFonts w:ascii="Times New Roman" w:hAnsi="Times New Roman"/>
          <w:b/>
        </w:rPr>
        <w:t>sito web dedicato alle notizie "in primo piano"</w:t>
      </w:r>
      <w:r w:rsidRPr="001F131C">
        <w:rPr>
          <w:rFonts w:ascii="Times New Roman" w:hAnsi="Times New Roman"/>
        </w:rPr>
        <w:t xml:space="preserve"> sulle tre campagne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>, basato sul modello di un documentario Web.</w:t>
      </w: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 xml:space="preserve">Presentare una valutazione del </w:t>
      </w:r>
      <w:r w:rsidRPr="001F131C">
        <w:rPr>
          <w:rFonts w:ascii="Times New Roman" w:hAnsi="Times New Roman"/>
          <w:b/>
        </w:rPr>
        <w:t>corso online (MOOC)</w:t>
      </w:r>
      <w:r w:rsidRPr="001F131C">
        <w:rPr>
          <w:rFonts w:ascii="Times New Roman" w:hAnsi="Times New Roman"/>
        </w:rPr>
        <w:t xml:space="preserve"> 2015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</w:t>
      </w:r>
      <w:r w:rsidR="00263090" w:rsidRPr="001F131C">
        <w:rPr>
          <w:rFonts w:ascii="Times New Roman" w:hAnsi="Times New Roman"/>
          <w:b/>
        </w:rPr>
        <w:t>sul tema</w:t>
      </w:r>
      <w:r w:rsidRPr="001F131C">
        <w:rPr>
          <w:rFonts w:ascii="Times New Roman" w:hAnsi="Times New Roman"/>
          <w:b/>
        </w:rPr>
        <w:t xml:space="preserve"> </w:t>
      </w:r>
      <w:r w:rsidR="00263090" w:rsidRPr="001F131C">
        <w:rPr>
          <w:rFonts w:ascii="Times New Roman" w:hAnsi="Times New Roman"/>
          <w:b/>
        </w:rPr>
        <w:t>Regioni</w:t>
      </w:r>
      <w:r w:rsidRPr="001F131C">
        <w:rPr>
          <w:rFonts w:ascii="Times New Roman" w:hAnsi="Times New Roman"/>
          <w:b/>
        </w:rPr>
        <w:t>, istituzioni e politiche dell</w:t>
      </w:r>
      <w:r w:rsidR="00263090" w:rsidRPr="001F131C">
        <w:rPr>
          <w:rFonts w:ascii="Times New Roman" w:hAnsi="Times New Roman"/>
          <w:b/>
        </w:rPr>
        <w:t>'</w:t>
      </w:r>
      <w:r w:rsidRPr="001F131C">
        <w:rPr>
          <w:rFonts w:ascii="Times New Roman" w:hAnsi="Times New Roman"/>
          <w:b/>
        </w:rPr>
        <w:t>UE</w:t>
      </w:r>
      <w:r w:rsidRPr="001F131C">
        <w:rPr>
          <w:rFonts w:ascii="Times New Roman" w:hAnsi="Times New Roman"/>
        </w:rPr>
        <w:t xml:space="preserve"> ed elaborare, idealmente i</w:t>
      </w:r>
      <w:proofErr w:type="gramEnd"/>
      <w:r w:rsidRPr="001F131C">
        <w:rPr>
          <w:rFonts w:ascii="Times New Roman" w:hAnsi="Times New Roman"/>
        </w:rPr>
        <w:t>n collaborazione con la Commissione europea, il Parlamento europeo e le altre istituzioni, la seconda edizione per ottobre 2016, per contribuire a sviluppare le capacità degli enti regionali e locali.</w:t>
      </w:r>
    </w:p>
    <w:p w:rsidR="00601931" w:rsidRPr="001F131C" w:rsidRDefault="000867E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Dedicare </w:t>
      </w:r>
      <w:r w:rsidRPr="001F131C">
        <w:rPr>
          <w:rFonts w:ascii="Times New Roman" w:hAnsi="Times New Roman"/>
          <w:b/>
        </w:rPr>
        <w:t xml:space="preserve">articoli specifici </w:t>
      </w:r>
      <w:proofErr w:type="gramStart"/>
      <w:r w:rsidRPr="001F131C">
        <w:rPr>
          <w:rFonts w:ascii="Times New Roman" w:hAnsi="Times New Roman"/>
          <w:b/>
        </w:rPr>
        <w:t xml:space="preserve">nella </w:t>
      </w:r>
      <w:proofErr w:type="spellStart"/>
      <w:proofErr w:type="gramEnd"/>
      <w:r w:rsidRPr="001F131C">
        <w:rPr>
          <w:rFonts w:ascii="Times New Roman" w:hAnsi="Times New Roman"/>
          <w:b/>
        </w:rPr>
        <w:t>eNewsletter</w:t>
      </w:r>
      <w:proofErr w:type="spellEnd"/>
      <w:r w:rsidRPr="001F131C">
        <w:rPr>
          <w:rFonts w:ascii="Times New Roman" w:hAnsi="Times New Roman"/>
          <w:b/>
        </w:rPr>
        <w:t xml:space="preserve"> del </w:t>
      </w:r>
      <w:proofErr w:type="spellStart"/>
      <w:r w:rsidRPr="001F131C">
        <w:rPr>
          <w:rFonts w:ascii="Times New Roman" w:hAnsi="Times New Roman"/>
          <w:b/>
        </w:rPr>
        <w:t>CdR</w:t>
      </w:r>
      <w:proofErr w:type="spellEnd"/>
      <w:r w:rsidRPr="001F131C">
        <w:rPr>
          <w:rFonts w:ascii="Times New Roman" w:hAnsi="Times New Roman"/>
        </w:rPr>
        <w:t xml:space="preserve"> alle tre campagne tematiche che saranno promosse attraverso i siti web del Parlamento europeo e della Commissione europea.</w:t>
      </w: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Sviluppare e attuare una </w:t>
      </w:r>
      <w:r w:rsidRPr="001F131C">
        <w:rPr>
          <w:rFonts w:ascii="Times New Roman" w:hAnsi="Times New Roman"/>
          <w:b/>
        </w:rPr>
        <w:t xml:space="preserve">strategia specifica per </w:t>
      </w:r>
      <w:proofErr w:type="gramStart"/>
      <w:r w:rsidRPr="001F131C">
        <w:rPr>
          <w:rFonts w:ascii="Times New Roman" w:hAnsi="Times New Roman"/>
          <w:b/>
        </w:rPr>
        <w:t>i</w:t>
      </w:r>
      <w:proofErr w:type="gramEnd"/>
      <w:r w:rsidRPr="001F131C">
        <w:rPr>
          <w:rFonts w:ascii="Times New Roman" w:hAnsi="Times New Roman"/>
          <w:b/>
        </w:rPr>
        <w:t xml:space="preserve"> social media e un piano di comunicazione</w:t>
      </w:r>
      <w:r w:rsidRPr="001F131C">
        <w:rPr>
          <w:rFonts w:ascii="Times New Roman" w:hAnsi="Times New Roman"/>
        </w:rPr>
        <w:t xml:space="preserve"> per le tre campagne tematiche. Le principali piattaforme sociali da utilizzare saranno le reti </w:t>
      </w:r>
      <w:proofErr w:type="spellStart"/>
      <w:r w:rsidRPr="001F131C">
        <w:rPr>
          <w:rFonts w:ascii="Times New Roman" w:hAnsi="Times New Roman"/>
        </w:rPr>
        <w:t>Twitter</w:t>
      </w:r>
      <w:proofErr w:type="spellEnd"/>
      <w:r w:rsidRPr="001F131C">
        <w:rPr>
          <w:rFonts w:ascii="Times New Roman" w:hAnsi="Times New Roman"/>
        </w:rPr>
        <w:t xml:space="preserve">, </w:t>
      </w:r>
      <w:proofErr w:type="spellStart"/>
      <w:r w:rsidRPr="001F131C">
        <w:rPr>
          <w:rFonts w:ascii="Times New Roman" w:hAnsi="Times New Roman"/>
        </w:rPr>
        <w:t>LinkedIn</w:t>
      </w:r>
      <w:proofErr w:type="spellEnd"/>
      <w:r w:rsidRPr="001F131C">
        <w:rPr>
          <w:rFonts w:ascii="Times New Roman" w:hAnsi="Times New Roman"/>
        </w:rPr>
        <w:t xml:space="preserve">, </w:t>
      </w:r>
      <w:proofErr w:type="spellStart"/>
      <w:r w:rsidRPr="001F131C">
        <w:rPr>
          <w:rFonts w:ascii="Times New Roman" w:hAnsi="Times New Roman"/>
        </w:rPr>
        <w:t>Facebook</w:t>
      </w:r>
      <w:proofErr w:type="spellEnd"/>
      <w:r w:rsidRPr="001F131C">
        <w:rPr>
          <w:rFonts w:ascii="Times New Roman" w:hAnsi="Times New Roman"/>
        </w:rPr>
        <w:t xml:space="preserve">, </w:t>
      </w:r>
      <w:proofErr w:type="gramStart"/>
      <w:r w:rsidRPr="001F131C">
        <w:rPr>
          <w:rFonts w:ascii="Times New Roman" w:hAnsi="Times New Roman"/>
        </w:rPr>
        <w:t>nonché</w:t>
      </w:r>
      <w:proofErr w:type="gramEnd"/>
      <w:r w:rsidRPr="001F131C">
        <w:rPr>
          <w:rFonts w:ascii="Times New Roman" w:hAnsi="Times New Roman"/>
        </w:rPr>
        <w:t xml:space="preserve"> i siti di connessione video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(</w:t>
      </w:r>
      <w:proofErr w:type="spellStart"/>
      <w:r w:rsidRPr="001F131C">
        <w:rPr>
          <w:rFonts w:ascii="Times New Roman" w:hAnsi="Times New Roman"/>
        </w:rPr>
        <w:t>YouTube</w:t>
      </w:r>
      <w:proofErr w:type="spellEnd"/>
      <w:r w:rsidRPr="001F131C">
        <w:rPr>
          <w:rFonts w:ascii="Times New Roman" w:hAnsi="Times New Roman"/>
        </w:rPr>
        <w:t xml:space="preserve"> e </w:t>
      </w:r>
      <w:proofErr w:type="spellStart"/>
      <w:r w:rsidRPr="001F131C">
        <w:rPr>
          <w:rFonts w:ascii="Times New Roman" w:hAnsi="Times New Roman"/>
        </w:rPr>
        <w:t>Flickr</w:t>
      </w:r>
      <w:proofErr w:type="spellEnd"/>
      <w:r w:rsidRPr="001F131C">
        <w:rPr>
          <w:rFonts w:ascii="Times New Roman" w:hAnsi="Times New Roman"/>
        </w:rPr>
        <w:t xml:space="preserve">). Le attività </w:t>
      </w:r>
      <w:proofErr w:type="gramStart"/>
      <w:r w:rsidRPr="001F131C">
        <w:rPr>
          <w:rFonts w:ascii="Times New Roman" w:hAnsi="Times New Roman"/>
        </w:rPr>
        <w:t>sui social media</w:t>
      </w:r>
      <w:proofErr w:type="gramEnd"/>
      <w:r w:rsidRPr="001F131C">
        <w:rPr>
          <w:rFonts w:ascii="Times New Roman" w:hAnsi="Times New Roman"/>
        </w:rPr>
        <w:t xml:space="preserve"> saranno concentrate su occasioni come l'adozione di pareri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e gli eventi organizzati in collaborazione con la Commissione e il Parlamento europeo. Saranno istituiti partenariati, con gli attori pertinenti </w:t>
      </w:r>
      <w:proofErr w:type="gramStart"/>
      <w:r w:rsidRPr="001F131C">
        <w:rPr>
          <w:rFonts w:ascii="Times New Roman" w:hAnsi="Times New Roman"/>
        </w:rPr>
        <w:t>dei social media</w:t>
      </w:r>
      <w:proofErr w:type="gramEnd"/>
      <w:r w:rsidRPr="001F131C">
        <w:rPr>
          <w:rFonts w:ascii="Times New Roman" w:hAnsi="Times New Roman"/>
        </w:rPr>
        <w:t xml:space="preserve">, sulle priorità tematiche per la promozione delle attività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. Una dotazione di bilancio sarà destinata ai post sponsorizzati su </w:t>
      </w:r>
      <w:proofErr w:type="spellStart"/>
      <w:r w:rsidRPr="001F131C">
        <w:rPr>
          <w:rFonts w:ascii="Times New Roman" w:hAnsi="Times New Roman"/>
        </w:rPr>
        <w:t>LinkedIn</w:t>
      </w:r>
      <w:proofErr w:type="spellEnd"/>
      <w:r w:rsidRPr="001F131C">
        <w:rPr>
          <w:rFonts w:ascii="Times New Roman" w:hAnsi="Times New Roman"/>
        </w:rPr>
        <w:t xml:space="preserve"> </w:t>
      </w:r>
      <w:proofErr w:type="gramStart"/>
      <w:r w:rsidRPr="001F131C">
        <w:rPr>
          <w:rFonts w:ascii="Times New Roman" w:hAnsi="Times New Roman"/>
        </w:rPr>
        <w:t>ed</w:t>
      </w:r>
      <w:proofErr w:type="gramEnd"/>
      <w:r w:rsidRPr="001F131C">
        <w:rPr>
          <w:rFonts w:ascii="Times New Roman" w:hAnsi="Times New Roman"/>
        </w:rPr>
        <w:t xml:space="preserve"> ai </w:t>
      </w:r>
      <w:proofErr w:type="spellStart"/>
      <w:r w:rsidRPr="001F131C">
        <w:rPr>
          <w:rFonts w:ascii="Times New Roman" w:hAnsi="Times New Roman"/>
        </w:rPr>
        <w:t>promoted</w:t>
      </w:r>
      <w:proofErr w:type="spellEnd"/>
      <w:r w:rsidRPr="001F131C">
        <w:rPr>
          <w:rFonts w:ascii="Times New Roman" w:hAnsi="Times New Roman"/>
        </w:rPr>
        <w:t xml:space="preserve"> </w:t>
      </w:r>
      <w:proofErr w:type="spellStart"/>
      <w:r w:rsidRPr="001F131C">
        <w:rPr>
          <w:rFonts w:ascii="Times New Roman" w:hAnsi="Times New Roman"/>
        </w:rPr>
        <w:t>tweet</w:t>
      </w:r>
      <w:proofErr w:type="spellEnd"/>
      <w:r w:rsidRPr="001F131C">
        <w:rPr>
          <w:rFonts w:ascii="Times New Roman" w:hAnsi="Times New Roman"/>
        </w:rPr>
        <w:t>.</w:t>
      </w: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Sviluppare una </w:t>
      </w:r>
      <w:r w:rsidRPr="001F131C">
        <w:rPr>
          <w:rFonts w:ascii="Times New Roman" w:hAnsi="Times New Roman"/>
          <w:b/>
        </w:rPr>
        <w:t xml:space="preserve">serie di otto </w:t>
      </w:r>
      <w:proofErr w:type="spellStart"/>
      <w:r w:rsidRPr="001F131C">
        <w:rPr>
          <w:rFonts w:ascii="Times New Roman" w:hAnsi="Times New Roman"/>
          <w:b/>
        </w:rPr>
        <w:t>infografiche</w:t>
      </w:r>
      <w:proofErr w:type="spellEnd"/>
      <w:r w:rsidRPr="001F131C">
        <w:rPr>
          <w:rFonts w:ascii="Times New Roman" w:hAnsi="Times New Roman"/>
        </w:rPr>
        <w:t xml:space="preserve"> sulle tre campagne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 xml:space="preserve"> (primo semestre 2016).</w:t>
      </w: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Sviluppare un numero limitato di </w:t>
      </w:r>
      <w:r w:rsidRPr="001F131C">
        <w:rPr>
          <w:rFonts w:ascii="Times New Roman" w:hAnsi="Times New Roman"/>
          <w:b/>
        </w:rPr>
        <w:t>elementi grafici</w:t>
      </w:r>
      <w:r w:rsidRPr="001F131C">
        <w:rPr>
          <w:rFonts w:ascii="Times New Roman" w:hAnsi="Times New Roman"/>
        </w:rPr>
        <w:t xml:space="preserve"> sulle tre campagne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 xml:space="preserve"> e </w:t>
      </w:r>
      <w:r w:rsidRPr="001F131C">
        <w:rPr>
          <w:rFonts w:ascii="Times New Roman" w:hAnsi="Times New Roman"/>
          <w:b/>
        </w:rPr>
        <w:t>evidenziare la priorità in materia di comunicazione</w:t>
      </w:r>
      <w:r w:rsidRPr="001F131C">
        <w:rPr>
          <w:rFonts w:ascii="Times New Roman" w:hAnsi="Times New Roman"/>
        </w:rPr>
        <w:t xml:space="preserve"> in diverse pubblicazioni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(riviste, opuscoli, schede informative).</w:t>
      </w:r>
    </w:p>
    <w:p w:rsidR="00601931" w:rsidRPr="001F131C" w:rsidRDefault="00601931" w:rsidP="001F131C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Realizzare una </w:t>
      </w:r>
      <w:r w:rsidRPr="001F131C">
        <w:rPr>
          <w:rFonts w:ascii="Times New Roman" w:hAnsi="Times New Roman"/>
          <w:b/>
        </w:rPr>
        <w:t>pubblicazione specifica cartacea/online</w:t>
      </w:r>
      <w:r w:rsidRPr="001F131C">
        <w:rPr>
          <w:rFonts w:ascii="Times New Roman" w:hAnsi="Times New Roman"/>
        </w:rPr>
        <w:t xml:space="preserve">, ad esempio un </w:t>
      </w:r>
      <w:proofErr w:type="gramStart"/>
      <w:r w:rsidRPr="001F131C">
        <w:rPr>
          <w:rFonts w:ascii="Times New Roman" w:hAnsi="Times New Roman"/>
        </w:rPr>
        <w:t>e-book</w:t>
      </w:r>
      <w:proofErr w:type="gramEnd"/>
      <w:r w:rsidRPr="001F131C">
        <w:rPr>
          <w:rFonts w:ascii="Times New Roman" w:hAnsi="Times New Roman"/>
        </w:rPr>
        <w:t>, su questa priorità tematica.</w:t>
      </w:r>
    </w:p>
    <w:p w:rsidR="00601931" w:rsidRPr="001F131C" w:rsidRDefault="00601931" w:rsidP="001F131C">
      <w:pPr>
        <w:pStyle w:val="ListParagraph"/>
        <w:ind w:left="0"/>
        <w:contextualSpacing/>
        <w:rPr>
          <w:rFonts w:ascii="Times New Roman" w:hAnsi="Times New Roman"/>
          <w:b/>
          <w:u w:val="single"/>
        </w:rPr>
      </w:pPr>
      <w:r w:rsidRPr="001F131C">
        <w:rPr>
          <w:rFonts w:ascii="Times New Roman" w:hAnsi="Times New Roman"/>
        </w:rPr>
        <w:br w:type="page"/>
      </w:r>
      <w:r w:rsidRPr="001F131C">
        <w:rPr>
          <w:rFonts w:ascii="Times New Roman" w:hAnsi="Times New Roman"/>
          <w:b/>
          <w:u w:val="single"/>
        </w:rPr>
        <w:lastRenderedPageBreak/>
        <w:t>Allegato II - Indicatori dei risultati</w:t>
      </w:r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Relazioni con la stampa e i media</w:t>
      </w:r>
    </w:p>
    <w:p w:rsidR="00601931" w:rsidRPr="001F131C" w:rsidRDefault="00601931" w:rsidP="001F131C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>Obiettivo: assicurare che il 7</w:t>
      </w:r>
      <w:r w:rsidR="00263090" w:rsidRPr="001F131C">
        <w:rPr>
          <w:rFonts w:ascii="Times New Roman" w:hAnsi="Times New Roman"/>
        </w:rPr>
        <w:t>0 %</w:t>
      </w:r>
      <w:r w:rsidRPr="001F131C">
        <w:rPr>
          <w:rFonts w:ascii="Times New Roman" w:hAnsi="Times New Roman"/>
        </w:rPr>
        <w:t xml:space="preserve"> dei pareri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sia coperto da media specializzati in affari europei, o da </w:t>
      </w:r>
      <w:proofErr w:type="gramStart"/>
      <w:r w:rsidRPr="001F131C">
        <w:rPr>
          <w:rFonts w:ascii="Times New Roman" w:hAnsi="Times New Roman"/>
        </w:rPr>
        <w:t>media nazionali e regionali</w:t>
      </w:r>
      <w:proofErr w:type="gramEnd"/>
      <w:r w:rsidRPr="001F131C">
        <w:rPr>
          <w:rFonts w:ascii="Times New Roman" w:hAnsi="Times New Roman"/>
        </w:rPr>
        <w:t xml:space="preserve"> (percentuale attuale: non disponibile).</w:t>
      </w:r>
    </w:p>
    <w:p w:rsidR="00601931" w:rsidRPr="001F131C" w:rsidRDefault="00601931" w:rsidP="001F131C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 xml:space="preserve">Obiettivo: raggiungere una media di 100 visualizzazioni per i video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>.</w:t>
      </w:r>
      <w:proofErr w:type="gramEnd"/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Eventi</w:t>
      </w:r>
    </w:p>
    <w:p w:rsidR="00601931" w:rsidRPr="001F131C" w:rsidRDefault="00601931" w:rsidP="001F131C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Obiettivo: far sì che il 50 % dei convegni ospitati </w:t>
      </w:r>
      <w:proofErr w:type="gramStart"/>
      <w:r w:rsidRPr="001F131C">
        <w:rPr>
          <w:rFonts w:ascii="Times New Roman" w:hAnsi="Times New Roman"/>
        </w:rPr>
        <w:t>risultino</w:t>
      </w:r>
      <w:proofErr w:type="gramEnd"/>
      <w:r w:rsidRPr="001F131C">
        <w:rPr>
          <w:rFonts w:ascii="Times New Roman" w:hAnsi="Times New Roman"/>
        </w:rPr>
        <w:t xml:space="preserve"> collegati alle due priorità tematiche (nessun riferimento per gli anni precedenti).</w:t>
      </w:r>
    </w:p>
    <w:p w:rsidR="00601931" w:rsidRPr="001F131C" w:rsidRDefault="00601931" w:rsidP="001F131C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Obiettivo: assicurare che il 20 % dei seminari degli Open </w:t>
      </w:r>
      <w:proofErr w:type="spellStart"/>
      <w:r w:rsidRPr="001F131C">
        <w:rPr>
          <w:rFonts w:ascii="Times New Roman" w:hAnsi="Times New Roman"/>
        </w:rPr>
        <w:t>Days</w:t>
      </w:r>
      <w:proofErr w:type="spellEnd"/>
      <w:r w:rsidRPr="001F131C">
        <w:rPr>
          <w:rFonts w:ascii="Times New Roman" w:hAnsi="Times New Roman"/>
        </w:rPr>
        <w:t xml:space="preserve"> e dei relativi eventi locali siano collegati alle tre priorità </w:t>
      </w:r>
      <w:proofErr w:type="gramStart"/>
      <w:r w:rsidRPr="001F131C">
        <w:rPr>
          <w:rFonts w:ascii="Times New Roman" w:hAnsi="Times New Roman"/>
        </w:rPr>
        <w:t>tematiche</w:t>
      </w:r>
      <w:proofErr w:type="gramEnd"/>
      <w:r w:rsidRPr="001F131C">
        <w:rPr>
          <w:rFonts w:ascii="Times New Roman" w:hAnsi="Times New Roman"/>
        </w:rPr>
        <w:t xml:space="preserve"> (nessun riferimento per gli anni precedenti).</w:t>
      </w:r>
    </w:p>
    <w:p w:rsidR="00601931" w:rsidRPr="001F131C" w:rsidRDefault="00601931" w:rsidP="001F131C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Obiettivo: garantire che gli eventi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a Bruxelles e a livello locale ospitino una percentuale minima del 50</w:t>
      </w:r>
      <w:proofErr w:type="gramStart"/>
      <w:r w:rsidRPr="001F131C">
        <w:rPr>
          <w:rFonts w:ascii="Times New Roman" w:hAnsi="Times New Roman"/>
        </w:rPr>
        <w:t> %</w:t>
      </w:r>
      <w:proofErr w:type="gramEnd"/>
      <w:r w:rsidRPr="001F131C">
        <w:rPr>
          <w:rFonts w:ascii="Times New Roman" w:hAnsi="Times New Roman"/>
        </w:rPr>
        <w:t xml:space="preserve"> di partecipanti provenienti da enti regionali e locali o rappresentanti di uffici regionali (nessun riferimento per gli anni precedenti).</w:t>
      </w:r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 xml:space="preserve">Obiettivi per </w:t>
      </w:r>
      <w:proofErr w:type="gramStart"/>
      <w:r w:rsidRPr="001F131C">
        <w:rPr>
          <w:b/>
          <w:szCs w:val="22"/>
        </w:rPr>
        <w:t>i media online</w:t>
      </w:r>
      <w:proofErr w:type="gramEnd"/>
      <w:r w:rsidRPr="001F131C">
        <w:rPr>
          <w:b/>
          <w:szCs w:val="22"/>
        </w:rPr>
        <w:t xml:space="preserve"> e i social media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>Aumentare del 2</w:t>
      </w:r>
      <w:r w:rsidR="00263090" w:rsidRPr="001F131C">
        <w:rPr>
          <w:rFonts w:ascii="Times New Roman" w:hAnsi="Times New Roman"/>
        </w:rPr>
        <w:t>0%</w:t>
      </w:r>
      <w:r w:rsidRPr="001F131C">
        <w:rPr>
          <w:rFonts w:ascii="Times New Roman" w:hAnsi="Times New Roman"/>
        </w:rPr>
        <w:t xml:space="preserve"> i sostenitori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su </w:t>
      </w:r>
      <w:proofErr w:type="spellStart"/>
      <w:r w:rsidRPr="001F131C">
        <w:rPr>
          <w:rFonts w:ascii="Times New Roman" w:hAnsi="Times New Roman"/>
        </w:rPr>
        <w:t>Twitter</w:t>
      </w:r>
      <w:proofErr w:type="spellEnd"/>
      <w:r w:rsidRPr="001F131C">
        <w:rPr>
          <w:rFonts w:ascii="Times New Roman" w:hAnsi="Times New Roman"/>
        </w:rPr>
        <w:t xml:space="preserve"> (</w:t>
      </w:r>
      <w:proofErr w:type="gramStart"/>
      <w:r w:rsidRPr="001F131C">
        <w:rPr>
          <w:rFonts w:ascii="Times New Roman" w:hAnsi="Times New Roman"/>
        </w:rPr>
        <w:t>attualmente</w:t>
      </w:r>
      <w:proofErr w:type="gramEnd"/>
      <w:r w:rsidRPr="001F131C">
        <w:rPr>
          <w:rFonts w:ascii="Times New Roman" w:hAnsi="Times New Roman"/>
        </w:rPr>
        <w:t xml:space="preserve"> 15 297 </w:t>
      </w:r>
      <w:proofErr w:type="spellStart"/>
      <w:r w:rsidRPr="001F131C">
        <w:rPr>
          <w:rFonts w:ascii="Times New Roman" w:hAnsi="Times New Roman"/>
        </w:rPr>
        <w:t>follower</w:t>
      </w:r>
      <w:proofErr w:type="spellEnd"/>
      <w:r w:rsidRPr="001F131C">
        <w:rPr>
          <w:rFonts w:ascii="Times New Roman" w:hAnsi="Times New Roman"/>
        </w:rPr>
        <w:t>), del 1</w:t>
      </w:r>
      <w:r w:rsidR="00263090" w:rsidRPr="001F131C">
        <w:rPr>
          <w:rFonts w:ascii="Times New Roman" w:hAnsi="Times New Roman"/>
        </w:rPr>
        <w:t>5%</w:t>
      </w:r>
      <w:r w:rsidRPr="001F131C">
        <w:rPr>
          <w:rFonts w:ascii="Times New Roman" w:hAnsi="Times New Roman"/>
        </w:rPr>
        <w:t xml:space="preserve"> quelli su </w:t>
      </w:r>
      <w:proofErr w:type="spellStart"/>
      <w:r w:rsidRPr="001F131C">
        <w:rPr>
          <w:rFonts w:ascii="Times New Roman" w:hAnsi="Times New Roman"/>
        </w:rPr>
        <w:t>Facebook</w:t>
      </w:r>
      <w:proofErr w:type="spellEnd"/>
      <w:r w:rsidRPr="001F131C">
        <w:rPr>
          <w:rFonts w:ascii="Times New Roman" w:hAnsi="Times New Roman"/>
        </w:rPr>
        <w:t xml:space="preserve"> (attualmente 5 272 "mi piace") e del 1</w:t>
      </w:r>
      <w:r w:rsidR="00263090" w:rsidRPr="001F131C">
        <w:rPr>
          <w:rFonts w:ascii="Times New Roman" w:hAnsi="Times New Roman"/>
        </w:rPr>
        <w:t>0%</w:t>
      </w:r>
      <w:r w:rsidRPr="001F131C">
        <w:rPr>
          <w:rFonts w:ascii="Times New Roman" w:hAnsi="Times New Roman"/>
        </w:rPr>
        <w:t xml:space="preserve"> quelli su </w:t>
      </w:r>
      <w:proofErr w:type="spellStart"/>
      <w:r w:rsidRPr="001F131C">
        <w:rPr>
          <w:rFonts w:ascii="Times New Roman" w:hAnsi="Times New Roman"/>
        </w:rPr>
        <w:t>LinkedIn</w:t>
      </w:r>
      <w:proofErr w:type="spellEnd"/>
      <w:r w:rsidRPr="001F131C">
        <w:rPr>
          <w:rFonts w:ascii="Times New Roman" w:hAnsi="Times New Roman"/>
        </w:rPr>
        <w:t xml:space="preserve"> (attualmente 3 348 sostenitori).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Aumentare del </w:t>
      </w:r>
      <w:r w:rsidR="00263090" w:rsidRPr="001F131C">
        <w:rPr>
          <w:rFonts w:ascii="Times New Roman" w:hAnsi="Times New Roman"/>
        </w:rPr>
        <w:t>5%</w:t>
      </w:r>
      <w:r w:rsidRPr="001F131C">
        <w:rPr>
          <w:rFonts w:ascii="Times New Roman" w:hAnsi="Times New Roman"/>
        </w:rPr>
        <w:t xml:space="preserve"> il numero di </w:t>
      </w:r>
      <w:proofErr w:type="gramStart"/>
      <w:r w:rsidRPr="001F131C">
        <w:rPr>
          <w:rFonts w:ascii="Times New Roman" w:hAnsi="Times New Roman"/>
        </w:rPr>
        <w:t>coloro che visitano</w:t>
      </w:r>
      <w:proofErr w:type="gramEnd"/>
      <w:r w:rsidRPr="001F131C">
        <w:rPr>
          <w:rFonts w:ascii="Times New Roman" w:hAnsi="Times New Roman"/>
        </w:rPr>
        <w:t xml:space="preserve"> il sito web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una sola volta all'anno (attualmente sono 301 000) e del </w:t>
      </w:r>
      <w:r w:rsidR="00263090" w:rsidRPr="001F131C">
        <w:rPr>
          <w:rFonts w:ascii="Times New Roman" w:hAnsi="Times New Roman"/>
        </w:rPr>
        <w:t>4%</w:t>
      </w:r>
      <w:r w:rsidRPr="001F131C">
        <w:rPr>
          <w:rFonts w:ascii="Times New Roman" w:hAnsi="Times New Roman"/>
        </w:rPr>
        <w:t xml:space="preserve"> le visite annuali (attualmente sono 484 000). 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Raggiungere </w:t>
      </w:r>
      <w:proofErr w:type="gramStart"/>
      <w:r w:rsidRPr="001F131C">
        <w:rPr>
          <w:rFonts w:ascii="Times New Roman" w:hAnsi="Times New Roman"/>
        </w:rPr>
        <w:t>1</w:t>
      </w:r>
      <w:proofErr w:type="gramEnd"/>
      <w:r w:rsidRPr="001F131C">
        <w:rPr>
          <w:rFonts w:ascii="Times New Roman" w:hAnsi="Times New Roman"/>
        </w:rPr>
        <w:t> 500 visite al mese per i siti web dedicati alle priorità tematiche.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Obiettivo: raggiungere </w:t>
      </w:r>
      <w:proofErr w:type="gramStart"/>
      <w:r w:rsidRPr="001F131C">
        <w:rPr>
          <w:rFonts w:ascii="Times New Roman" w:hAnsi="Times New Roman"/>
        </w:rPr>
        <w:t>10</w:t>
      </w:r>
      <w:proofErr w:type="gramEnd"/>
      <w:r w:rsidRPr="001F131C">
        <w:rPr>
          <w:rFonts w:ascii="Times New Roman" w:hAnsi="Times New Roman"/>
        </w:rPr>
        <w:t> 000 partecipanti iscritti per il MOOC 2016 (attualmente sono 7 300).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Sul sito web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</w:t>
      </w:r>
      <w:proofErr w:type="gramStart"/>
      <w:r w:rsidRPr="001F131C">
        <w:rPr>
          <w:rFonts w:ascii="Times New Roman" w:hAnsi="Times New Roman"/>
        </w:rPr>
        <w:t>verranno</w:t>
      </w:r>
      <w:proofErr w:type="gramEnd"/>
      <w:r w:rsidRPr="001F131C">
        <w:rPr>
          <w:rFonts w:ascii="Times New Roman" w:hAnsi="Times New Roman"/>
        </w:rPr>
        <w:t xml:space="preserve"> prodotti metadati per aiutare i visitatori a recuperare contenuti attinenti alla priorità tematica (informazioni in evidenza, pareri, video, opuscoli, ecc.).</w:t>
      </w:r>
    </w:p>
    <w:p w:rsidR="00601931" w:rsidRPr="001F131C" w:rsidRDefault="00601931" w:rsidP="001F131C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Verrà</w:t>
      </w:r>
      <w:proofErr w:type="gramEnd"/>
      <w:r w:rsidRPr="001F131C">
        <w:rPr>
          <w:rFonts w:ascii="Times New Roman" w:hAnsi="Times New Roman"/>
        </w:rPr>
        <w:t xml:space="preserve"> scelto e attivato uno strumento per monitorare 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 xml:space="preserve">influenza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sui social media. Tale strumento </w:t>
      </w:r>
      <w:proofErr w:type="gramStart"/>
      <w:r w:rsidRPr="001F131C">
        <w:rPr>
          <w:rFonts w:ascii="Times New Roman" w:hAnsi="Times New Roman"/>
        </w:rPr>
        <w:t>verrà</w:t>
      </w:r>
      <w:proofErr w:type="gramEnd"/>
      <w:r w:rsidRPr="001F131C">
        <w:rPr>
          <w:rFonts w:ascii="Times New Roman" w:hAnsi="Times New Roman"/>
        </w:rPr>
        <w:t xml:space="preserve"> definito nell'imminente strategia digitale e sociale.</w:t>
      </w:r>
    </w:p>
    <w:p w:rsidR="001A7A59" w:rsidRPr="001F131C" w:rsidRDefault="001A7A59" w:rsidP="001F131C">
      <w:pPr>
        <w:spacing w:line="240" w:lineRule="auto"/>
        <w:rPr>
          <w:b/>
          <w:szCs w:val="22"/>
        </w:rPr>
      </w:pPr>
    </w:p>
    <w:p w:rsidR="00601931" w:rsidRPr="001F131C" w:rsidRDefault="00601931" w:rsidP="001F131C">
      <w:pPr>
        <w:spacing w:line="240" w:lineRule="auto"/>
        <w:rPr>
          <w:b/>
          <w:szCs w:val="22"/>
        </w:rPr>
      </w:pPr>
      <w:r w:rsidRPr="001F131C">
        <w:rPr>
          <w:b/>
          <w:szCs w:val="22"/>
        </w:rPr>
        <w:t>Obiettivi delle pubblicazioni</w:t>
      </w:r>
    </w:p>
    <w:p w:rsidR="00601931" w:rsidRPr="001F131C" w:rsidRDefault="00601931" w:rsidP="001F131C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Assicurare che il 70 % </w:t>
      </w:r>
      <w:proofErr w:type="gramStart"/>
      <w:r w:rsidRPr="001F131C">
        <w:rPr>
          <w:rFonts w:ascii="Times New Roman" w:hAnsi="Times New Roman"/>
        </w:rPr>
        <w:t>od</w:t>
      </w:r>
      <w:proofErr w:type="gramEnd"/>
      <w:r w:rsidRPr="001F131C">
        <w:rPr>
          <w:rFonts w:ascii="Times New Roman" w:hAnsi="Times New Roman"/>
        </w:rPr>
        <w:t xml:space="preserve"> oltre delle pubblicazioni resti strettamente connesso alle priorità della campagna 2016</w:t>
      </w:r>
      <w:r w:rsidR="00263090" w:rsidRPr="001F131C">
        <w:rPr>
          <w:rFonts w:ascii="Times New Roman" w:hAnsi="Times New Roman"/>
        </w:rPr>
        <w:t xml:space="preserve"> </w:t>
      </w:r>
      <w:r w:rsidRPr="001F131C">
        <w:rPr>
          <w:rFonts w:ascii="Times New Roman" w:hAnsi="Times New Roman"/>
        </w:rPr>
        <w:t>(tramite pianificazione semestrale delle pubblicazioni).</w:t>
      </w:r>
    </w:p>
    <w:p w:rsidR="00601931" w:rsidRPr="001F131C" w:rsidRDefault="00601931" w:rsidP="001F131C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 xml:space="preserve">Il 100 % delle principali pubblicazioni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 xml:space="preserve"> dovrà essere pubblicato online, </w:t>
      </w:r>
      <w:proofErr w:type="gramStart"/>
      <w:r w:rsidRPr="001F131C">
        <w:rPr>
          <w:rFonts w:ascii="Times New Roman" w:hAnsi="Times New Roman"/>
        </w:rPr>
        <w:t>nonché</w:t>
      </w:r>
      <w:proofErr w:type="gramEnd"/>
      <w:r w:rsidRPr="001F131C">
        <w:rPr>
          <w:rFonts w:ascii="Times New Roman" w:hAnsi="Times New Roman"/>
        </w:rPr>
        <w:t xml:space="preserve"> sul sito web del </w:t>
      </w:r>
      <w:proofErr w:type="spellStart"/>
      <w:r w:rsidRPr="001F131C">
        <w:rPr>
          <w:rFonts w:ascii="Times New Roman" w:hAnsi="Times New Roman"/>
        </w:rPr>
        <w:t>CdR</w:t>
      </w:r>
      <w:proofErr w:type="spellEnd"/>
      <w:r w:rsidRPr="001F131C">
        <w:rPr>
          <w:rFonts w:ascii="Times New Roman" w:hAnsi="Times New Roman"/>
        </w:rPr>
        <w:t>, da almeno un altro organo/rete/attore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>UE (</w:t>
      </w:r>
      <w:r w:rsidR="00263090" w:rsidRPr="001F131C">
        <w:rPr>
          <w:rFonts w:ascii="Times New Roman" w:hAnsi="Times New Roman"/>
        </w:rPr>
        <w:t>EU</w:t>
      </w:r>
      <w:r w:rsidRPr="001F131C">
        <w:rPr>
          <w:rFonts w:ascii="Times New Roman" w:hAnsi="Times New Roman"/>
        </w:rPr>
        <w:t xml:space="preserve"> Bookshop, agenzie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>UE, associazioni e reti dell</w:t>
      </w:r>
      <w:r w:rsidR="00263090" w:rsidRPr="001F131C">
        <w:rPr>
          <w:rFonts w:ascii="Times New Roman" w:hAnsi="Times New Roman"/>
        </w:rPr>
        <w:t>'</w:t>
      </w:r>
      <w:r w:rsidRPr="001F131C">
        <w:rPr>
          <w:rFonts w:ascii="Times New Roman" w:hAnsi="Times New Roman"/>
        </w:rPr>
        <w:t>UE) attraverso il coordinamento della distribuzione online.</w:t>
      </w:r>
    </w:p>
    <w:p w:rsidR="00601931" w:rsidRPr="001F131C" w:rsidRDefault="00601931" w:rsidP="001F131C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>Ridurre del 1</w:t>
      </w:r>
      <w:r w:rsidR="00263090" w:rsidRPr="001F131C">
        <w:rPr>
          <w:rFonts w:ascii="Times New Roman" w:hAnsi="Times New Roman"/>
        </w:rPr>
        <w:t>0%</w:t>
      </w:r>
      <w:r w:rsidRPr="001F131C">
        <w:rPr>
          <w:rFonts w:ascii="Times New Roman" w:hAnsi="Times New Roman"/>
        </w:rPr>
        <w:t xml:space="preserve"> le pubblicazioni cartacee.</w:t>
      </w:r>
    </w:p>
    <w:p w:rsidR="00601931" w:rsidRPr="001F131C" w:rsidRDefault="00601931" w:rsidP="001F131C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</w:rPr>
      </w:pPr>
      <w:r w:rsidRPr="001F131C">
        <w:rPr>
          <w:rFonts w:ascii="Times New Roman" w:hAnsi="Times New Roman"/>
        </w:rPr>
        <w:t>Aumentare del 1</w:t>
      </w:r>
      <w:r w:rsidR="00263090" w:rsidRPr="001F131C">
        <w:rPr>
          <w:rFonts w:ascii="Times New Roman" w:hAnsi="Times New Roman"/>
        </w:rPr>
        <w:t>0%</w:t>
      </w:r>
      <w:r w:rsidRPr="001F131C">
        <w:rPr>
          <w:rFonts w:ascii="Times New Roman" w:hAnsi="Times New Roman"/>
        </w:rPr>
        <w:t xml:space="preserve"> la distribuzione digitale delle pubblicazioni.</w:t>
      </w:r>
    </w:p>
    <w:p w:rsidR="00601931" w:rsidRPr="001F131C" w:rsidRDefault="00601931" w:rsidP="001F131C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</w:rPr>
      </w:pPr>
      <w:proofErr w:type="gramStart"/>
      <w:r w:rsidRPr="001F131C">
        <w:rPr>
          <w:rFonts w:ascii="Times New Roman" w:hAnsi="Times New Roman"/>
        </w:rPr>
        <w:t>Adottare la stampa su richiesta per tutta la produzione interna, al fine di evitare scorte inutili; razionalizzare il 7</w:t>
      </w:r>
      <w:r w:rsidR="00263090" w:rsidRPr="001F131C">
        <w:rPr>
          <w:rFonts w:ascii="Times New Roman" w:hAnsi="Times New Roman"/>
        </w:rPr>
        <w:t>0%</w:t>
      </w:r>
      <w:r w:rsidRPr="001F131C">
        <w:rPr>
          <w:rFonts w:ascii="Times New Roman" w:hAnsi="Times New Roman"/>
        </w:rPr>
        <w:t xml:space="preserve"> dei prodotti di co</w:t>
      </w:r>
      <w:proofErr w:type="gramEnd"/>
      <w:r w:rsidRPr="001F131C">
        <w:rPr>
          <w:rFonts w:ascii="Times New Roman" w:hAnsi="Times New Roman"/>
        </w:rPr>
        <w:t>municazione delle commissioni.</w:t>
      </w:r>
    </w:p>
    <w:p w:rsidR="00BB3CA2" w:rsidRPr="001F131C" w:rsidRDefault="00BB3CA2" w:rsidP="001F131C">
      <w:pPr>
        <w:spacing w:line="240" w:lineRule="auto"/>
        <w:rPr>
          <w:szCs w:val="22"/>
        </w:rPr>
      </w:pPr>
    </w:p>
    <w:p w:rsidR="00D60C05" w:rsidRPr="001F131C" w:rsidRDefault="00D60C05" w:rsidP="001F131C">
      <w:pPr>
        <w:overflowPunct/>
        <w:autoSpaceDE/>
        <w:autoSpaceDN/>
        <w:adjustRightInd/>
        <w:spacing w:line="240" w:lineRule="auto"/>
        <w:jc w:val="left"/>
        <w:textAlignment w:val="auto"/>
        <w:rPr>
          <w:szCs w:val="22"/>
        </w:rPr>
      </w:pPr>
      <w:r w:rsidRPr="001F131C">
        <w:rPr>
          <w:szCs w:val="22"/>
        </w:rPr>
        <w:br w:type="page"/>
      </w:r>
    </w:p>
    <w:p w:rsidR="00BB3CA2" w:rsidRPr="001F131C" w:rsidRDefault="00BB3CA2" w:rsidP="001F131C">
      <w:pPr>
        <w:spacing w:line="240" w:lineRule="auto"/>
        <w:jc w:val="center"/>
        <w:rPr>
          <w:szCs w:val="22"/>
        </w:rPr>
      </w:pPr>
    </w:p>
    <w:p w:rsidR="004F711E" w:rsidRPr="001F131C" w:rsidRDefault="00263090" w:rsidP="001F131C">
      <w:pPr>
        <w:overflowPunct/>
        <w:autoSpaceDE/>
        <w:autoSpaceDN/>
        <w:adjustRightInd/>
        <w:spacing w:line="240" w:lineRule="auto"/>
        <w:textAlignment w:val="auto"/>
        <w:rPr>
          <w:b/>
          <w:szCs w:val="22"/>
        </w:rPr>
      </w:pPr>
      <w:r w:rsidRPr="001F131C">
        <w:rPr>
          <w:b/>
          <w:szCs w:val="22"/>
        </w:rPr>
        <w:t>Allegato III -</w:t>
      </w:r>
      <w:r w:rsidR="004F711E" w:rsidRPr="001F131C">
        <w:rPr>
          <w:b/>
          <w:szCs w:val="22"/>
        </w:rPr>
        <w:t xml:space="preserve"> Struttura, funzioni e organico della direzione Comunicazione</w:t>
      </w:r>
    </w:p>
    <w:p w:rsidR="004F711E" w:rsidRPr="001F131C" w:rsidRDefault="004F711E" w:rsidP="001F131C">
      <w:pPr>
        <w:overflowPunct/>
        <w:autoSpaceDE/>
        <w:autoSpaceDN/>
        <w:adjustRightInd/>
        <w:spacing w:line="240" w:lineRule="auto"/>
        <w:textAlignment w:val="auto"/>
        <w:rPr>
          <w:szCs w:val="22"/>
        </w:rPr>
      </w:pPr>
    </w:p>
    <w:p w:rsidR="004F711E" w:rsidRPr="001F131C" w:rsidRDefault="004F711E" w:rsidP="001F131C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  <w:r w:rsidRPr="001F131C">
        <w:rPr>
          <w:szCs w:val="22"/>
        </w:rPr>
        <w:t xml:space="preserve">La direzione Comunicazione (D) gestisce diversi strumenti di comunicazione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, ad esempio: le relazioni con i media, i convegni e gli eventi, la comunicazione digitale, compresa la comunicazione attraverso </w:t>
      </w:r>
      <w:proofErr w:type="gramStart"/>
      <w:r w:rsidRPr="001F131C">
        <w:rPr>
          <w:szCs w:val="22"/>
        </w:rPr>
        <w:t>il web e i social</w:t>
      </w:r>
      <w:proofErr w:type="gramEnd"/>
      <w:r w:rsidRPr="001F131C">
        <w:rPr>
          <w:szCs w:val="22"/>
        </w:rPr>
        <w:t xml:space="preserve"> media, e le pubblicazioni. Ha un organico complessivo di </w:t>
      </w:r>
      <w:proofErr w:type="gramStart"/>
      <w:r w:rsidRPr="001F131C">
        <w:rPr>
          <w:szCs w:val="22"/>
        </w:rPr>
        <w:t>51</w:t>
      </w:r>
      <w:proofErr w:type="gramEnd"/>
      <w:r w:rsidRPr="001F131C">
        <w:rPr>
          <w:szCs w:val="22"/>
        </w:rPr>
        <w:t xml:space="preserve"> effettivi (21 AD, 21 AST, 2 END, 7 AC). Il personale responsabile della gestione della direzione (2 AD, 4 AST, 1 AC) comprende anche un gruppo incaricato della supervisione del bilancio per la comunicazione. Le tre unità della direzione svolgono le seguenti funzioni, con il personale indicato: </w:t>
      </w:r>
    </w:p>
    <w:p w:rsidR="004F711E" w:rsidRPr="001F131C" w:rsidRDefault="004F711E" w:rsidP="001F131C">
      <w:pPr>
        <w:overflowPunct/>
        <w:autoSpaceDE/>
        <w:autoSpaceDN/>
        <w:adjustRightInd/>
        <w:spacing w:line="240" w:lineRule="auto"/>
        <w:textAlignment w:val="auto"/>
        <w:rPr>
          <w:bCs/>
          <w:iCs/>
          <w:szCs w:val="22"/>
        </w:rPr>
      </w:pPr>
    </w:p>
    <w:p w:rsidR="004F711E" w:rsidRPr="001F131C" w:rsidRDefault="004F711E" w:rsidP="001F131C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szCs w:val="22"/>
        </w:rPr>
      </w:pPr>
      <w:r w:rsidRPr="001F131C">
        <w:rPr>
          <w:b/>
          <w:szCs w:val="22"/>
        </w:rPr>
        <w:t>UNITÀ D.1 - Addetti stampa e rapporti con i mezzi d'informazione -</w:t>
      </w:r>
      <w:r w:rsidRPr="001F131C">
        <w:rPr>
          <w:szCs w:val="22"/>
        </w:rPr>
        <w:t xml:space="preserve">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unità D.1 (10 AD, 3 AST, 2 AC) assiste i membri e i servizi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attraverso la gestione dei rapporti con la stampa e i media, e dei servizi audiovisivi. Comprende un gruppo di addetti stampa e un servizio audiovisivi per la produzione e la distribuzione di video e foto. </w:t>
      </w:r>
    </w:p>
    <w:p w:rsidR="004F711E" w:rsidRPr="001F131C" w:rsidRDefault="004F711E" w:rsidP="001F131C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szCs w:val="22"/>
        </w:rPr>
      </w:pPr>
    </w:p>
    <w:p w:rsidR="004F711E" w:rsidRPr="001F131C" w:rsidRDefault="004F711E" w:rsidP="001F131C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szCs w:val="22"/>
        </w:rPr>
      </w:pPr>
      <w:r w:rsidRPr="001F131C">
        <w:rPr>
          <w:b/>
          <w:szCs w:val="22"/>
        </w:rPr>
        <w:t>UNITÀ D.2 - Eventi -</w:t>
      </w:r>
      <w:r w:rsidRPr="001F131C">
        <w:rPr>
          <w:szCs w:val="22"/>
        </w:rPr>
        <w:t xml:space="preserve"> L'unità D.2 (6 AD, 7 AST, </w:t>
      </w:r>
      <w:proofErr w:type="gramStart"/>
      <w:r w:rsidRPr="001F131C">
        <w:rPr>
          <w:szCs w:val="22"/>
        </w:rPr>
        <w:t>2</w:t>
      </w:r>
      <w:proofErr w:type="gramEnd"/>
      <w:r w:rsidRPr="001F131C">
        <w:rPr>
          <w:szCs w:val="22"/>
        </w:rPr>
        <w:t xml:space="preserve"> END) assiste i membri e i servizi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attraverso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>organizzazione di eventi e comprende un gruppo incaricato dell'organizzazione dell'edizione annuale della Settimana europea delle regioni e delle città, un gruppo responsabile dei convegni e uno del servizio visite.</w:t>
      </w:r>
    </w:p>
    <w:p w:rsidR="004F711E" w:rsidRPr="001F131C" w:rsidRDefault="004F711E" w:rsidP="001F131C">
      <w:pPr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b/>
          <w:szCs w:val="22"/>
        </w:rPr>
      </w:pPr>
    </w:p>
    <w:p w:rsidR="004F711E" w:rsidRPr="001F131C" w:rsidRDefault="004F711E" w:rsidP="001F131C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b/>
          <w:szCs w:val="22"/>
        </w:rPr>
      </w:pPr>
      <w:r w:rsidRPr="001F131C">
        <w:rPr>
          <w:b/>
          <w:szCs w:val="22"/>
        </w:rPr>
        <w:t xml:space="preserve">UNITÀ D.3 - </w:t>
      </w:r>
      <w:proofErr w:type="gramStart"/>
      <w:r w:rsidRPr="001F131C">
        <w:rPr>
          <w:b/>
          <w:szCs w:val="22"/>
        </w:rPr>
        <w:t>Media sociali e digitali</w:t>
      </w:r>
      <w:proofErr w:type="gramEnd"/>
      <w:r w:rsidRPr="001F131C">
        <w:rPr>
          <w:b/>
          <w:szCs w:val="22"/>
        </w:rPr>
        <w:t>, pubblicazioni -</w:t>
      </w:r>
      <w:r w:rsidRPr="001F131C">
        <w:rPr>
          <w:szCs w:val="22"/>
        </w:rPr>
        <w:t xml:space="preserve"> L</w:t>
      </w:r>
      <w:r w:rsidR="00263090" w:rsidRPr="001F131C">
        <w:rPr>
          <w:szCs w:val="22"/>
        </w:rPr>
        <w:t>'</w:t>
      </w:r>
      <w:r w:rsidRPr="001F131C">
        <w:rPr>
          <w:szCs w:val="22"/>
        </w:rPr>
        <w:t xml:space="preserve">unità D.3 (3 AD, 7 AST, 4 AC) assiste i membri e i servizi del </w:t>
      </w:r>
      <w:proofErr w:type="spellStart"/>
      <w:r w:rsidRPr="001F131C">
        <w:rPr>
          <w:szCs w:val="22"/>
        </w:rPr>
        <w:t>CdR</w:t>
      </w:r>
      <w:proofErr w:type="spellEnd"/>
      <w:r w:rsidRPr="001F131C">
        <w:rPr>
          <w:szCs w:val="22"/>
        </w:rPr>
        <w:t xml:space="preserve"> attraverso le comunicazioni sui media sociali e digitali, le pubblicazioni e la progettazione grafica. È composta </w:t>
      </w:r>
      <w:proofErr w:type="gramStart"/>
      <w:r w:rsidRPr="001F131C">
        <w:rPr>
          <w:szCs w:val="22"/>
        </w:rPr>
        <w:t>da</w:t>
      </w:r>
      <w:proofErr w:type="gramEnd"/>
      <w:r w:rsidRPr="001F131C">
        <w:rPr>
          <w:szCs w:val="22"/>
        </w:rPr>
        <w:t xml:space="preserve"> due gruppi che si occupano rispettivamente di media digitali e sociali e di pubblicazioni.</w:t>
      </w:r>
    </w:p>
    <w:bookmarkEnd w:id="0"/>
    <w:p w:rsidR="004F711E" w:rsidRPr="006322EE" w:rsidRDefault="004F711E" w:rsidP="006322EE">
      <w:pPr>
        <w:spacing w:line="240" w:lineRule="auto"/>
        <w:rPr>
          <w:szCs w:val="22"/>
        </w:rPr>
      </w:pPr>
    </w:p>
    <w:p w:rsidR="004F711E" w:rsidRPr="006322EE" w:rsidRDefault="004F711E" w:rsidP="006322EE">
      <w:pPr>
        <w:spacing w:line="240" w:lineRule="auto"/>
        <w:jc w:val="center"/>
        <w:rPr>
          <w:szCs w:val="22"/>
        </w:rPr>
      </w:pPr>
      <w:r w:rsidRPr="006322EE">
        <w:rPr>
          <w:szCs w:val="22"/>
        </w:rPr>
        <w:t>_____________</w:t>
      </w:r>
    </w:p>
    <w:sectPr w:rsidR="004F711E" w:rsidRPr="006322EE" w:rsidSect="0026309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8" w:rsidRDefault="005F7FB8">
      <w:r>
        <w:separator/>
      </w:r>
    </w:p>
  </w:endnote>
  <w:endnote w:type="continuationSeparator" w:id="0">
    <w:p w:rsidR="005F7FB8" w:rsidRDefault="005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601931" w:rsidP="00263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263090" w:rsidP="00263090">
    <w:pPr>
      <w:pStyle w:val="Footer"/>
    </w:pPr>
    <w:proofErr w:type="gramStart"/>
    <w:r>
      <w:t>COR-2015-05320-14-01-NB-TRA</w:t>
    </w:r>
    <w:proofErr w:type="gramEnd"/>
    <w:r>
      <w:t xml:space="preserve">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1F131C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r w:rsidR="001F131C">
      <w:fldChar w:fldCharType="begin"/>
    </w:r>
    <w:r w:rsidR="001F131C">
      <w:instrText xml:space="preserve"> NUMPAGES </w:instrText>
    </w:r>
    <w:r w:rsidR="001F131C">
      <w:fldChar w:fldCharType="separate"/>
    </w:r>
    <w:r w:rsidR="001F131C">
      <w:rPr>
        <w:noProof/>
      </w:rPr>
      <w:instrText>11</w:instrText>
    </w:r>
    <w:r w:rsidR="001F131C">
      <w:rPr>
        <w:noProof/>
      </w:rPr>
      <w:fldChar w:fldCharType="end"/>
    </w:r>
    <w:r>
      <w:instrText xml:space="preserve"> -0 </w:instrText>
    </w:r>
    <w:r>
      <w:fldChar w:fldCharType="separate"/>
    </w:r>
    <w:r w:rsidR="001F131C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601931" w:rsidP="00263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8" w:rsidRDefault="005F7FB8">
      <w:r>
        <w:separator/>
      </w:r>
    </w:p>
  </w:footnote>
  <w:footnote w:type="continuationSeparator" w:id="0">
    <w:p w:rsidR="005F7FB8" w:rsidRDefault="005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601931" w:rsidP="00263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601931" w:rsidP="002630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263090" w:rsidRDefault="00601931" w:rsidP="00263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958F302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cs="Times New Roman"/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  <w:b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E191D"/>
    <w:rsid w:val="000E4C12"/>
    <w:rsid w:val="000E611F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1F131C"/>
    <w:rsid w:val="00203C1A"/>
    <w:rsid w:val="00245963"/>
    <w:rsid w:val="002571D3"/>
    <w:rsid w:val="00263090"/>
    <w:rsid w:val="002B242F"/>
    <w:rsid w:val="00302530"/>
    <w:rsid w:val="003452C1"/>
    <w:rsid w:val="0034713F"/>
    <w:rsid w:val="003A48EB"/>
    <w:rsid w:val="003B27A9"/>
    <w:rsid w:val="003B63CC"/>
    <w:rsid w:val="003C1DD0"/>
    <w:rsid w:val="003D06F8"/>
    <w:rsid w:val="003D1EDC"/>
    <w:rsid w:val="0040397A"/>
    <w:rsid w:val="004040C3"/>
    <w:rsid w:val="004115F8"/>
    <w:rsid w:val="00415040"/>
    <w:rsid w:val="00423D75"/>
    <w:rsid w:val="004248A8"/>
    <w:rsid w:val="004542E4"/>
    <w:rsid w:val="00457E89"/>
    <w:rsid w:val="00486418"/>
    <w:rsid w:val="00487F6C"/>
    <w:rsid w:val="00492B05"/>
    <w:rsid w:val="004D0A84"/>
    <w:rsid w:val="004D192E"/>
    <w:rsid w:val="004E212B"/>
    <w:rsid w:val="004F1127"/>
    <w:rsid w:val="004F711E"/>
    <w:rsid w:val="005268A3"/>
    <w:rsid w:val="0055427D"/>
    <w:rsid w:val="00575403"/>
    <w:rsid w:val="005851CA"/>
    <w:rsid w:val="005A75FF"/>
    <w:rsid w:val="005B6CFE"/>
    <w:rsid w:val="005D2857"/>
    <w:rsid w:val="005D6665"/>
    <w:rsid w:val="005F4761"/>
    <w:rsid w:val="005F7FB8"/>
    <w:rsid w:val="00601931"/>
    <w:rsid w:val="006322EE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732A02"/>
    <w:rsid w:val="00733A3B"/>
    <w:rsid w:val="007476DC"/>
    <w:rsid w:val="00764959"/>
    <w:rsid w:val="00770E6D"/>
    <w:rsid w:val="007A43B1"/>
    <w:rsid w:val="007B69B0"/>
    <w:rsid w:val="007D0978"/>
    <w:rsid w:val="007E2F70"/>
    <w:rsid w:val="007F1CC2"/>
    <w:rsid w:val="00810E87"/>
    <w:rsid w:val="00842BFB"/>
    <w:rsid w:val="00857D13"/>
    <w:rsid w:val="00894084"/>
    <w:rsid w:val="00894250"/>
    <w:rsid w:val="008A6431"/>
    <w:rsid w:val="008C4256"/>
    <w:rsid w:val="008D3BE0"/>
    <w:rsid w:val="008E02A1"/>
    <w:rsid w:val="008E289B"/>
    <w:rsid w:val="00913002"/>
    <w:rsid w:val="0094084F"/>
    <w:rsid w:val="00944853"/>
    <w:rsid w:val="00954D7A"/>
    <w:rsid w:val="009948A8"/>
    <w:rsid w:val="009B0703"/>
    <w:rsid w:val="009B2F1E"/>
    <w:rsid w:val="009C007E"/>
    <w:rsid w:val="009C7972"/>
    <w:rsid w:val="00A0269E"/>
    <w:rsid w:val="00A129CE"/>
    <w:rsid w:val="00A30EE6"/>
    <w:rsid w:val="00A352E9"/>
    <w:rsid w:val="00A56E87"/>
    <w:rsid w:val="00A6507B"/>
    <w:rsid w:val="00AA3D07"/>
    <w:rsid w:val="00AA6C1F"/>
    <w:rsid w:val="00AB0673"/>
    <w:rsid w:val="00AB2028"/>
    <w:rsid w:val="00AB2471"/>
    <w:rsid w:val="00AB56E9"/>
    <w:rsid w:val="00AB65B3"/>
    <w:rsid w:val="00AD7454"/>
    <w:rsid w:val="00AF7920"/>
    <w:rsid w:val="00B0266A"/>
    <w:rsid w:val="00B12E68"/>
    <w:rsid w:val="00B14131"/>
    <w:rsid w:val="00B66785"/>
    <w:rsid w:val="00B763B5"/>
    <w:rsid w:val="00BA47D7"/>
    <w:rsid w:val="00BA7A13"/>
    <w:rsid w:val="00BB29EC"/>
    <w:rsid w:val="00BB3CA2"/>
    <w:rsid w:val="00BC7716"/>
    <w:rsid w:val="00BD3AEF"/>
    <w:rsid w:val="00C137AE"/>
    <w:rsid w:val="00C13BA6"/>
    <w:rsid w:val="00CF21D9"/>
    <w:rsid w:val="00D15234"/>
    <w:rsid w:val="00D30CCD"/>
    <w:rsid w:val="00D60C05"/>
    <w:rsid w:val="00D80169"/>
    <w:rsid w:val="00DD3A9A"/>
    <w:rsid w:val="00DF463E"/>
    <w:rsid w:val="00E16523"/>
    <w:rsid w:val="00E31F2D"/>
    <w:rsid w:val="00E41AAD"/>
    <w:rsid w:val="00E614A2"/>
    <w:rsid w:val="00E87A7D"/>
    <w:rsid w:val="00EE3E1A"/>
    <w:rsid w:val="00EE5EF3"/>
    <w:rsid w:val="00F06EC8"/>
    <w:rsid w:val="00F227C2"/>
    <w:rsid w:val="00F55BAB"/>
    <w:rsid w:val="00F57853"/>
    <w:rsid w:val="00FB06D2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character" w:styleId="FollowedHyperlink">
    <w:name w:val="FollowedHyperlink"/>
    <w:basedOn w:val="DefaultParagraphFont"/>
    <w:rsid w:val="002630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  <w:style w:type="paragraph" w:styleId="BalloonText">
    <w:name w:val="Balloon Text"/>
    <w:basedOn w:val="Normal"/>
    <w:link w:val="BalloonTextChar"/>
    <w:rsid w:val="00632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72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972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972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C7972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9C7972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rsid w:val="009C7972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9C7972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9C7972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C7972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qFormat/>
    <w:rsid w:val="009C7972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9B"/>
    <w:rPr>
      <w:rFonts w:asciiTheme="majorHAnsi" w:eastAsiaTheme="majorEastAsia" w:hAnsiTheme="majorHAnsi" w:cstheme="majorBidi"/>
      <w:b/>
      <w:bCs/>
      <w:color w:val="4F81BD" w:themeColor="accent1"/>
      <w:sz w:val="22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A9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it-IT" w:eastAsia="it-I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A9B"/>
    <w:rPr>
      <w:rFonts w:asciiTheme="majorHAnsi" w:eastAsiaTheme="majorEastAsia" w:hAnsiTheme="majorHAnsi" w:cstheme="majorBidi"/>
      <w:color w:val="243F60" w:themeColor="accent1" w:themeShade="7F"/>
      <w:sz w:val="22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A9B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it-IT" w:eastAsia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A9B"/>
    <w:rPr>
      <w:rFonts w:asciiTheme="majorHAnsi" w:eastAsiaTheme="majorEastAsia" w:hAnsiTheme="majorHAnsi" w:cstheme="majorBidi"/>
      <w:color w:val="404040" w:themeColor="text1" w:themeTint="BF"/>
      <w:lang w:val="it-IT" w:eastAsia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A9B"/>
    <w:rPr>
      <w:rFonts w:asciiTheme="majorHAnsi" w:eastAsiaTheme="majorEastAsia" w:hAnsiTheme="majorHAnsi" w:cstheme="majorBidi"/>
      <w:i/>
      <w:iCs/>
      <w:color w:val="404040" w:themeColor="text1" w:themeTint="BF"/>
      <w:lang w:val="it-IT" w:eastAsia="it-IT"/>
    </w:rPr>
  </w:style>
  <w:style w:type="paragraph" w:styleId="Footer">
    <w:name w:val="footer"/>
    <w:basedOn w:val="Normal"/>
    <w:link w:val="FooterChar"/>
    <w:uiPriority w:val="99"/>
    <w:rsid w:val="009C7972"/>
  </w:style>
  <w:style w:type="character" w:customStyle="1" w:styleId="FooterChar">
    <w:name w:val="Footer Char"/>
    <w:basedOn w:val="DefaultParagraphFont"/>
    <w:link w:val="Footer"/>
    <w:uiPriority w:val="99"/>
    <w:rsid w:val="00D77A9B"/>
    <w:rPr>
      <w:sz w:val="22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9C7972"/>
    <w:pPr>
      <w:keepLines/>
      <w:spacing w:after="120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A9B"/>
    <w:rPr>
      <w:lang w:val="it-IT" w:eastAsia="it-IT"/>
    </w:rPr>
  </w:style>
  <w:style w:type="paragraph" w:styleId="Header">
    <w:name w:val="header"/>
    <w:basedOn w:val="Normal"/>
    <w:link w:val="HeaderChar"/>
    <w:uiPriority w:val="99"/>
    <w:rsid w:val="009C7972"/>
  </w:style>
  <w:style w:type="character" w:customStyle="1" w:styleId="HeaderChar">
    <w:name w:val="Header Char"/>
    <w:basedOn w:val="DefaultParagraphFont"/>
    <w:link w:val="Header"/>
    <w:uiPriority w:val="99"/>
    <w:rsid w:val="00D77A9B"/>
    <w:rPr>
      <w:sz w:val="22"/>
      <w:lang w:val="it-IT" w:eastAsia="it-IT"/>
    </w:rPr>
  </w:style>
  <w:style w:type="paragraph" w:customStyle="1" w:styleId="quotes">
    <w:name w:val="quotes"/>
    <w:basedOn w:val="Normal"/>
    <w:next w:val="Normal"/>
    <w:rsid w:val="009C7972"/>
    <w:pPr>
      <w:ind w:left="1593" w:hanging="153"/>
    </w:pPr>
    <w:rPr>
      <w:i/>
    </w:rPr>
  </w:style>
  <w:style w:type="character" w:styleId="FootnoteReference">
    <w:name w:val="footnote reference"/>
    <w:basedOn w:val="DefaultParagraphFont"/>
    <w:uiPriority w:val="99"/>
    <w:semiHidden/>
    <w:rsid w:val="009C7972"/>
    <w:rPr>
      <w:rFonts w:cs="Times New Roman"/>
      <w:sz w:val="24"/>
      <w:vertAlign w:val="superscript"/>
    </w:rPr>
  </w:style>
  <w:style w:type="character" w:styleId="FollowedHyperlink">
    <w:name w:val="FollowedHyperlink"/>
    <w:basedOn w:val="DefaultParagraphFont"/>
    <w:rsid w:val="002630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931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Calibri" w:eastAsia="Calibri" w:hAnsi="Calibri"/>
      <w:szCs w:val="22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  <w:style w:type="paragraph" w:styleId="BalloonText">
    <w:name w:val="Balloon Text"/>
    <w:basedOn w:val="Normal"/>
    <w:link w:val="BalloonTextChar"/>
    <w:rsid w:val="00632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/rX9gNAmENUi8gZIggfXu7WPJeH5l+95Y=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CORWEB-1638683326-79</_dlc_DocId>
    <_dlc_DocIdUrl xmlns="61ca3f1a-19f4-461d-a43b-0b5ad97b08be">
      <Url>https://prod-portal.cor.europa.eu/en/about/secretary-general/_layouts/15/DocIdRedir.aspx?ID=CORWEB-1638683326-79</Url>
      <Description>CORWEB-1638683326-79</Description>
    </_dlc_DocIdUrl>
    <TaxCatchAll xmlns="61ca3f1a-19f4-461d-a43b-0b5ad97b08be">
      <Value>48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880e4dfd-ce09-45be-b622-757bd3d0ed9f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ADFE0EB-34C8-43CC-96C9-F4683F3760CB}"/>
</file>

<file path=customXml/itemProps2.xml><?xml version="1.0" encoding="utf-8"?>
<ds:datastoreItem xmlns:ds="http://schemas.openxmlformats.org/officeDocument/2006/customXml" ds:itemID="{4487FA7E-F935-475A-AC44-6BABF24EBBF3}"/>
</file>

<file path=customXml/itemProps3.xml><?xml version="1.0" encoding="utf-8"?>
<ds:datastoreItem xmlns:ds="http://schemas.openxmlformats.org/officeDocument/2006/customXml" ds:itemID="{C3596BF7-382F-4B11-BA82-E3C44626877F}"/>
</file>

<file path=customXml/itemProps4.xml><?xml version="1.0" encoding="utf-8"?>
<ds:datastoreItem xmlns:ds="http://schemas.openxmlformats.org/officeDocument/2006/customXml" ds:itemID="{8F54C2D9-3B7B-45CD-85A4-1980661C7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247026-E225-42BC-9B87-0B71901D4A06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4525</Words>
  <Characters>26467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09 - Piano di comunicazione per il 2016</vt:lpstr>
    </vt:vector>
  </TitlesOfParts>
  <Company>CESE-CdR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Nota  Ufficio di presidenza</dc:subject>
  <dc:creator>Melanie Russo</dc:creator>
  <cp:keywords>COR-2015-05320-14-01-NB-TRA-IT</cp:keywords>
  <dc:description>Relatore: -_x000d_
Lingua originale: EN_x000d_
Data del documento: 30/11/2015_x000d_
Data della riunione: 02/12/2015_x000d_
Documenti esterni: -_x000d_
Funzionario responsabile: Bouquerel Caroline, telefono: + 2 546 9019_x000d_
_x000d_
Sintesi:</dc:description>
  <cp:lastModifiedBy>Melanie Russo</cp:lastModifiedBy>
  <cp:revision>3</cp:revision>
  <cp:lastPrinted>2015-11-23T14:19:00Z</cp:lastPrinted>
  <dcterms:created xsi:type="dcterms:W3CDTF">2017-02-23T15:25:00Z</dcterms:created>
  <dcterms:modified xsi:type="dcterms:W3CDTF">2017-02-24T10:24:00Z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a65d87a9-b7ba-4ee6-b458-165d49d16372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SK|46d9fce0-ef79-4f71-b89b-cd6aa82426b8;PT|50ccc04a-eadd-42ae-a0cb-acaf45f812ba;EN|f2175f21-25d7-44a3-96da-d6a61b075e1b;ET|ff6c3f4c-b02c-4c3c-ab07-2c37995a7a0a;RO|feb747a2-64cd-4299-af12-4833ddc30497;BG|1a1b3951-7821-4e6a-85f5-5673fc08bd2c;LV|46f7e311-5d9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15;#IT|0774613c-01ed-4e5d-a25d-11d2388de825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87;#Italian|3aad7d9c-fd10-4338-92d9-b993c5f40a04</vt:lpwstr>
  </property>
  <property fmtid="{D5CDD505-2E9C-101B-9397-08002B2CF9AE}" pid="46" name="CorWebDocumentType_0">
    <vt:lpwstr/>
  </property>
  <property fmtid="{D5CDD505-2E9C-101B-9397-08002B2CF9AE}" pid="47" name="CoR_Language">
    <vt:lpwstr>48;#Italian|880e4dfd-ce09-45be-b622-757bd3d0ed9f</vt:lpwstr>
  </property>
</Properties>
</file>