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ook w:val="0000" w:firstRow="0" w:lastRow="0" w:firstColumn="0" w:lastColumn="0" w:noHBand="0" w:noVBand="0"/>
      </w:tblPr>
      <w:tblGrid>
        <w:gridCol w:w="5058"/>
        <w:gridCol w:w="4510"/>
      </w:tblGrid>
      <w:tr w:rsidR="00916FCB" w:rsidRPr="006D6E4A" w:rsidTr="00B54B31">
        <w:tc>
          <w:tcPr>
            <w:tcW w:w="5058" w:type="dxa"/>
          </w:tcPr>
          <w:p w:rsidR="00916FCB" w:rsidRPr="006D6E4A" w:rsidRDefault="004E36FD" w:rsidP="00BC283C">
            <w:pPr>
              <w:overflowPunct/>
              <w:adjustRightInd/>
              <w:textAlignment w:val="auto"/>
              <w:rPr>
                <w:b/>
                <w:bCs/>
                <w:szCs w:val="22"/>
              </w:rPr>
            </w:pPr>
            <w:r w:rsidRPr="006D6E4A">
              <w:rPr>
                <w:rFonts w:eastAsia="Arial Unicode MS"/>
                <w:noProof/>
                <w:lang w:val="en-US"/>
              </w:rPr>
              <w:drawing>
                <wp:inline distT="0" distB="0" distL="0" distR="0" wp14:anchorId="52DA858F" wp14:editId="2442986A">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6D6E4A">
              <w:rPr>
                <w:b/>
                <w:bCs/>
                <w:noProof/>
                <w:szCs w:val="22"/>
                <w:lang w:val="en-US"/>
              </w:rPr>
              <mc:AlternateContent>
                <mc:Choice Requires="wps">
                  <w:drawing>
                    <wp:anchor distT="0" distB="0" distL="114300" distR="114300" simplePos="0" relativeHeight="251659264" behindDoc="1" locked="0" layoutInCell="0" allowOverlap="1" wp14:anchorId="29DDEFB4" wp14:editId="424194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FD" w:rsidRPr="006D6E4A" w:rsidRDefault="004E36FD" w:rsidP="00BC283C">
                                  <w:pPr>
                                    <w:overflowPunct/>
                                    <w:adjustRightInd/>
                                    <w:jc w:val="center"/>
                                    <w:textAlignment w:val="auto"/>
                                    <w:rPr>
                                      <w:rFonts w:ascii="Arial" w:hAnsi="Arial" w:cs="Arial"/>
                                      <w:b/>
                                      <w:sz w:val="48"/>
                                    </w:rPr>
                                  </w:pPr>
                                  <w:r w:rsidRPr="006D6E4A">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6D6E4A" w:rsidR="004E36FD" w:rsidP="00BC283C" w:rsidRDefault="004E36FD">
                            <w:pPr>
                              <w:overflowPunct/>
                              <w:adjustRightInd/>
                              <w:jc w:val="center"/>
                              <w:textAlignment w:val="auto"/>
                              <w:rPr>
                                <w:rFonts w:ascii="Arial" w:hAnsi="Arial" w:cs="Arial"/>
                                <w:b/>
                                <w:sz w:val="48"/>
                              </w:rPr>
                            </w:pPr>
                            <w:r w:rsidRPr="006D6E4A">
                              <w:rPr>
                                <w:rFonts w:ascii="Arial" w:hAnsi="Arial" w:cs="Arial"/>
                                <w:b/>
                                <w:sz w:val="48"/>
                              </w:rPr>
                              <w:t>EN</w:t>
                            </w:r>
                          </w:p>
                        </w:txbxContent>
                      </v:textbox>
                      <w10:wrap anchorx="page" anchory="page"/>
                    </v:shape>
                  </w:pict>
                </mc:Fallback>
              </mc:AlternateContent>
            </w:r>
          </w:p>
        </w:tc>
        <w:tc>
          <w:tcPr>
            <w:tcW w:w="4510" w:type="dxa"/>
          </w:tcPr>
          <w:p w:rsidR="00916FCB" w:rsidRPr="006D6E4A" w:rsidRDefault="00916FCB" w:rsidP="00BC283C">
            <w:pPr>
              <w:overflowPunct/>
              <w:adjustRightInd/>
              <w:jc w:val="center"/>
              <w:textAlignment w:val="auto"/>
            </w:pPr>
          </w:p>
          <w:p w:rsidR="00916FCB" w:rsidRPr="006D6E4A" w:rsidRDefault="00F0739C" w:rsidP="00BC283C">
            <w:pPr>
              <w:overflowPunct/>
              <w:adjustRightInd/>
              <w:jc w:val="right"/>
              <w:textAlignment w:val="auto"/>
              <w:rPr>
                <w:b/>
                <w:sz w:val="48"/>
                <w:szCs w:val="48"/>
              </w:rPr>
            </w:pPr>
            <w:r w:rsidRPr="006D6E4A">
              <w:rPr>
                <w:b/>
                <w:sz w:val="48"/>
              </w:rPr>
              <w:t>ENVE</w:t>
            </w:r>
          </w:p>
        </w:tc>
      </w:tr>
    </w:tbl>
    <w:p w:rsidR="00916FCB" w:rsidRPr="006D6E4A" w:rsidRDefault="00916FCB" w:rsidP="00BC283C">
      <w:pPr>
        <w:overflowPunct/>
        <w:adjustRightInd/>
        <w:textAlignment w:val="auto"/>
        <w:sectPr w:rsidR="00916FCB" w:rsidRPr="006D6E4A" w:rsidSect="006D6E4A">
          <w:headerReference w:type="even" r:id="rId14"/>
          <w:headerReference w:type="default" r:id="rId15"/>
          <w:footerReference w:type="even" r:id="rId16"/>
          <w:footerReference w:type="default" r:id="rId17"/>
          <w:headerReference w:type="first" r:id="rId18"/>
          <w:footerReference w:type="first" r:id="rId19"/>
          <w:endnotePr>
            <w:numFmt w:val="chicago"/>
          </w:endnotePr>
          <w:type w:val="continuous"/>
          <w:pgSz w:w="11907" w:h="16839" w:code="9"/>
          <w:pgMar w:top="1417" w:right="1417" w:bottom="1417" w:left="1417" w:header="709" w:footer="709" w:gutter="0"/>
          <w:pgNumType w:start="1"/>
          <w:cols w:space="720"/>
          <w:docGrid w:linePitch="326"/>
        </w:sectPr>
      </w:pPr>
    </w:p>
    <w:p w:rsidR="00916FCB" w:rsidRPr="006D6E4A" w:rsidRDefault="00916FCB" w:rsidP="00BC283C">
      <w:pPr>
        <w:overflowPunct/>
        <w:adjustRightInd/>
        <w:jc w:val="right"/>
        <w:textAlignment w:val="auto"/>
      </w:pPr>
    </w:p>
    <w:p w:rsidR="00916FCB" w:rsidRPr="006D6E4A" w:rsidRDefault="005205F6" w:rsidP="00BC283C">
      <w:pPr>
        <w:overflowPunct/>
        <w:adjustRightInd/>
        <w:jc w:val="right"/>
        <w:textAlignment w:val="auto"/>
      </w:pPr>
      <w:r w:rsidRPr="006D6E4A">
        <w:t xml:space="preserve">Brussels, </w:t>
      </w:r>
      <w:r w:rsidR="00145BBF" w:rsidRPr="006D6E4A">
        <w:t>20</w:t>
      </w:r>
      <w:r w:rsidR="004E36FD" w:rsidRPr="006D6E4A">
        <w:t xml:space="preserve"> </w:t>
      </w:r>
      <w:r w:rsidR="008D5902" w:rsidRPr="006D6E4A">
        <w:t>November</w:t>
      </w:r>
      <w:r w:rsidRPr="006D6E4A">
        <w:t xml:space="preserve"> 2017</w:t>
      </w:r>
    </w:p>
    <w:p w:rsidR="00916FCB" w:rsidRPr="006D6E4A" w:rsidRDefault="00916FCB" w:rsidP="00BC283C">
      <w:pPr>
        <w:overflowPunct/>
        <w:adjustRightInd/>
        <w:textAlignment w:val="auto"/>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rPr>
      </w:pPr>
      <w:r w:rsidRPr="006D6E4A">
        <w:rPr>
          <w:b/>
        </w:rPr>
        <w:t xml:space="preserve">MEETING OF THE COMMISSION FOR </w:t>
      </w:r>
      <w:r w:rsidR="00815835" w:rsidRPr="006D6E4A">
        <w:rPr>
          <w:b/>
        </w:rPr>
        <w:t xml:space="preserve">THE </w:t>
      </w:r>
      <w:r w:rsidR="00762E86" w:rsidRPr="006D6E4A">
        <w:rPr>
          <w:b/>
        </w:rPr>
        <w:t>ENVIRONMENT</w:t>
      </w:r>
      <w:proofErr w:type="gramStart"/>
      <w:r w:rsidR="00762E86" w:rsidRPr="006D6E4A">
        <w:rPr>
          <w:b/>
        </w:rPr>
        <w:t>,</w:t>
      </w:r>
      <w:proofErr w:type="gramEnd"/>
      <w:r w:rsidR="004E36FD" w:rsidRPr="006D6E4A">
        <w:rPr>
          <w:b/>
        </w:rPr>
        <w:br/>
      </w:r>
      <w:r w:rsidR="00762E86" w:rsidRPr="006D6E4A">
        <w:rPr>
          <w:b/>
        </w:rPr>
        <w:t>CLIMATE CHANGE AND ENERGY (ENVE)</w:t>
      </w:r>
      <w:bookmarkStart w:id="0" w:name="_GoBack"/>
      <w:bookmarkEnd w:id="0"/>
    </w:p>
    <w:p w:rsidR="00916FCB" w:rsidRPr="006D6E4A" w:rsidRDefault="00916FCB" w:rsidP="00BC283C">
      <w:pPr>
        <w:overflowPunct/>
        <w:adjustRightInd/>
        <w:jc w:val="center"/>
        <w:textAlignment w:val="auto"/>
      </w:pPr>
    </w:p>
    <w:p w:rsidR="00916FCB" w:rsidRPr="006D6E4A" w:rsidRDefault="00916FCB" w:rsidP="00BC283C">
      <w:pPr>
        <w:overflowPunct/>
        <w:adjustRightInd/>
        <w:jc w:val="center"/>
        <w:textAlignment w:val="auto"/>
        <w:rPr>
          <w:b/>
        </w:rPr>
      </w:pPr>
    </w:p>
    <w:p w:rsidR="00916FCB" w:rsidRPr="006D6E4A" w:rsidRDefault="00916FCB" w:rsidP="00BC283C">
      <w:pPr>
        <w:overflowPunct/>
        <w:adjustRightInd/>
        <w:jc w:val="center"/>
        <w:textAlignment w:val="auto"/>
        <w:rPr>
          <w:b/>
          <w:u w:val="single"/>
        </w:rPr>
      </w:pPr>
      <w:r w:rsidRPr="006D6E4A">
        <w:rPr>
          <w:b/>
        </w:rPr>
        <w:t xml:space="preserve">– </w:t>
      </w:r>
      <w:r w:rsidR="00762E86" w:rsidRPr="006D6E4A">
        <w:rPr>
          <w:b/>
        </w:rPr>
        <w:t>22</w:t>
      </w:r>
      <w:r w:rsidRPr="006D6E4A">
        <w:rPr>
          <w:b/>
        </w:rPr>
        <w:t xml:space="preserve"> NOVEMBER</w:t>
      </w:r>
      <w:r w:rsidR="005205F6" w:rsidRPr="006D6E4A">
        <w:rPr>
          <w:b/>
        </w:rPr>
        <w:t xml:space="preserve"> 2017</w:t>
      </w:r>
      <w:r w:rsidRPr="006D6E4A">
        <w:rPr>
          <w:b/>
        </w:rPr>
        <w:t xml:space="preserve"> –</w:t>
      </w: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tbl>
      <w:tblPr>
        <w:tblW w:w="9240" w:type="dxa"/>
        <w:tblLayout w:type="fixed"/>
        <w:tblLook w:val="04A0" w:firstRow="1" w:lastRow="0" w:firstColumn="1" w:lastColumn="0" w:noHBand="0" w:noVBand="1"/>
      </w:tblPr>
      <w:tblGrid>
        <w:gridCol w:w="9240"/>
      </w:tblGrid>
      <w:tr w:rsidR="00916FCB" w:rsidRPr="006D6E4A" w:rsidTr="00B54B31">
        <w:tc>
          <w:tcPr>
            <w:tcW w:w="9243" w:type="dxa"/>
            <w:tcBorders>
              <w:top w:val="single" w:sz="6" w:space="0" w:color="auto"/>
              <w:left w:val="single" w:sz="6" w:space="0" w:color="auto"/>
              <w:bottom w:val="single" w:sz="6" w:space="0" w:color="auto"/>
              <w:right w:val="single" w:sz="6" w:space="0" w:color="auto"/>
            </w:tcBorders>
          </w:tcPr>
          <w:p w:rsidR="00916FCB" w:rsidRPr="006D6E4A" w:rsidRDefault="00916FCB" w:rsidP="00BC283C">
            <w:pPr>
              <w:overflowPunct/>
              <w:adjustRightInd/>
              <w:jc w:val="center"/>
              <w:textAlignment w:val="auto"/>
              <w:rPr>
                <w:b/>
                <w:u w:val="single"/>
              </w:rPr>
            </w:pPr>
          </w:p>
          <w:p w:rsidR="00916FCB" w:rsidRPr="006D6E4A" w:rsidRDefault="00105343" w:rsidP="00BC283C">
            <w:pPr>
              <w:overflowPunct/>
              <w:adjustRightInd/>
              <w:jc w:val="center"/>
              <w:textAlignment w:val="auto"/>
              <w:rPr>
                <w:b/>
              </w:rPr>
            </w:pPr>
            <w:r w:rsidRPr="006D6E4A">
              <w:rPr>
                <w:b/>
              </w:rPr>
              <w:t xml:space="preserve">ITEM </w:t>
            </w:r>
            <w:r w:rsidR="006D7C65" w:rsidRPr="006D6E4A">
              <w:rPr>
                <w:b/>
              </w:rPr>
              <w:t>4.8</w:t>
            </w:r>
          </w:p>
          <w:p w:rsidR="00916FCB" w:rsidRPr="006D6E4A" w:rsidRDefault="00916FCB" w:rsidP="00BC283C">
            <w:pPr>
              <w:overflowPunct/>
              <w:adjustRightInd/>
              <w:jc w:val="center"/>
              <w:textAlignment w:val="auto"/>
              <w:rPr>
                <w:b/>
                <w:u w:val="single"/>
              </w:rPr>
            </w:pPr>
          </w:p>
          <w:p w:rsidR="00916FCB" w:rsidRPr="006D6E4A" w:rsidRDefault="00681EA4" w:rsidP="00BC283C">
            <w:pPr>
              <w:overflowPunct/>
              <w:adjustRightInd/>
              <w:jc w:val="center"/>
              <w:textAlignment w:val="auto"/>
              <w:rPr>
                <w:b/>
              </w:rPr>
            </w:pPr>
            <w:r w:rsidRPr="006D6E4A">
              <w:rPr>
                <w:b/>
              </w:rPr>
              <w:t xml:space="preserve">2018 </w:t>
            </w:r>
            <w:r w:rsidR="005205F6" w:rsidRPr="006D6E4A">
              <w:rPr>
                <w:b/>
              </w:rPr>
              <w:t>WORK PROGRAMME</w:t>
            </w:r>
            <w:r w:rsidR="004E36FD" w:rsidRPr="006D6E4A">
              <w:rPr>
                <w:b/>
              </w:rPr>
              <w:br/>
            </w:r>
            <w:r w:rsidR="00916FCB" w:rsidRPr="006D6E4A">
              <w:br/>
            </w:r>
            <w:r w:rsidR="00916FCB" w:rsidRPr="006D6E4A">
              <w:rPr>
                <w:b/>
              </w:rPr>
              <w:t xml:space="preserve">of the Commission for </w:t>
            </w:r>
            <w:r w:rsidR="00762E86" w:rsidRPr="006D6E4A">
              <w:rPr>
                <w:b/>
              </w:rPr>
              <w:t>Environment, Climate change and Energy (ENVE)</w:t>
            </w:r>
          </w:p>
          <w:p w:rsidR="00916FCB" w:rsidRPr="006D6E4A" w:rsidRDefault="00916FCB" w:rsidP="00BC283C">
            <w:pPr>
              <w:overflowPunct/>
              <w:adjustRightInd/>
              <w:jc w:val="center"/>
              <w:textAlignment w:val="auto"/>
              <w:rPr>
                <w:b/>
              </w:rPr>
            </w:pPr>
          </w:p>
          <w:p w:rsidR="00916FCB" w:rsidRPr="006D6E4A" w:rsidRDefault="00916FCB" w:rsidP="00BC283C">
            <w:pPr>
              <w:overflowPunct/>
              <w:adjustRightInd/>
              <w:textAlignment w:val="auto"/>
              <w:rPr>
                <w:szCs w:val="22"/>
                <w:lang w:bidi="en-GB"/>
              </w:rPr>
            </w:pPr>
          </w:p>
        </w:tc>
      </w:tr>
    </w:tbl>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jc w:val="center"/>
        <w:textAlignment w:val="auto"/>
        <w:rPr>
          <w:b/>
          <w:u w:val="single"/>
        </w:rPr>
      </w:pPr>
    </w:p>
    <w:p w:rsidR="00916FCB" w:rsidRPr="006D6E4A" w:rsidRDefault="00916FCB" w:rsidP="00BC283C">
      <w:pPr>
        <w:overflowPunct/>
        <w:adjustRightInd/>
        <w:spacing w:after="200" w:line="276" w:lineRule="auto"/>
        <w:jc w:val="left"/>
        <w:textAlignment w:val="auto"/>
      </w:pPr>
      <w:r w:rsidRPr="006D6E4A">
        <w:br w:type="page"/>
      </w:r>
    </w:p>
    <w:p w:rsidR="00BD7F91" w:rsidRPr="006D6E4A" w:rsidRDefault="009F510D" w:rsidP="00BC283C">
      <w:pPr>
        <w:overflowPunct/>
        <w:adjustRightInd/>
        <w:jc w:val="center"/>
        <w:textAlignment w:val="auto"/>
        <w:rPr>
          <w:b/>
        </w:rPr>
      </w:pPr>
      <w:r w:rsidRPr="006D6E4A">
        <w:rPr>
          <w:b/>
        </w:rPr>
        <w:lastRenderedPageBreak/>
        <w:t xml:space="preserve">2018 </w:t>
      </w:r>
      <w:r w:rsidR="005205F6" w:rsidRPr="006D6E4A">
        <w:rPr>
          <w:b/>
        </w:rPr>
        <w:t>WORK PROGRAMME</w:t>
      </w:r>
      <w:r w:rsidR="004E36FD" w:rsidRPr="006D6E4A">
        <w:rPr>
          <w:b/>
        </w:rPr>
        <w:br/>
      </w:r>
      <w:r w:rsidR="00BD7F91" w:rsidRPr="006D6E4A">
        <w:br/>
      </w:r>
      <w:r w:rsidR="00BD7F91" w:rsidRPr="006D6E4A">
        <w:rPr>
          <w:b/>
        </w:rPr>
        <w:t xml:space="preserve">of the Commission for </w:t>
      </w:r>
      <w:r w:rsidR="0060093A" w:rsidRPr="006D6E4A">
        <w:rPr>
          <w:b/>
        </w:rPr>
        <w:t xml:space="preserve">the </w:t>
      </w:r>
      <w:r w:rsidR="00762E86" w:rsidRPr="006D6E4A">
        <w:rPr>
          <w:b/>
        </w:rPr>
        <w:t>Environment, Climate change and Energy (ENVE)</w:t>
      </w:r>
    </w:p>
    <w:p w:rsidR="00BD7F91" w:rsidRPr="006D6E4A" w:rsidRDefault="00BD7F91" w:rsidP="00BC283C">
      <w:pPr>
        <w:overflowPunct/>
        <w:adjustRightInd/>
        <w:textAlignment w:val="auto"/>
      </w:pPr>
    </w:p>
    <w:p w:rsidR="00392BF9" w:rsidRPr="006D6E4A" w:rsidRDefault="00BD7F91" w:rsidP="00BC283C">
      <w:pPr>
        <w:overflowPunct/>
        <w:adjustRightInd/>
        <w:textAlignment w:val="auto"/>
      </w:pPr>
      <w:r w:rsidRPr="006D6E4A">
        <w:t xml:space="preserve">The following work programme has been </w:t>
      </w:r>
      <w:r w:rsidR="006D5FC5" w:rsidRPr="006D6E4A">
        <w:t xml:space="preserve">drawn up </w:t>
      </w:r>
      <w:r w:rsidRPr="006D6E4A">
        <w:t xml:space="preserve">in accordance with the work programme of </w:t>
      </w:r>
      <w:r w:rsidR="00CD7AED" w:rsidRPr="006D6E4A">
        <w:t xml:space="preserve">the </w:t>
      </w:r>
      <w:r w:rsidR="005205F6" w:rsidRPr="006D6E4A">
        <w:t>European Commission for 2018</w:t>
      </w:r>
      <w:r w:rsidR="0076506D" w:rsidRPr="006D6E4A">
        <w:rPr>
          <w:rStyle w:val="FootnoteReference"/>
        </w:rPr>
        <w:footnoteReference w:id="1"/>
      </w:r>
      <w:r w:rsidR="00BC28C0" w:rsidRPr="006D6E4A">
        <w:t>,</w:t>
      </w:r>
      <w:r w:rsidR="00CD7AED" w:rsidRPr="006D6E4A">
        <w:t xml:space="preserve"> the CoR R</w:t>
      </w:r>
      <w:r w:rsidRPr="006D6E4A">
        <w:t xml:space="preserve">esolution on the European </w:t>
      </w:r>
      <w:r w:rsidR="005205F6" w:rsidRPr="006D6E4A">
        <w:t>Commission's work programme 2018</w:t>
      </w:r>
      <w:r w:rsidR="0076506D" w:rsidRPr="006D6E4A">
        <w:rPr>
          <w:rStyle w:val="FootnoteReference"/>
        </w:rPr>
        <w:footnoteReference w:id="2"/>
      </w:r>
      <w:r w:rsidR="00BC28C0" w:rsidRPr="006D6E4A">
        <w:t xml:space="preserve">, and the </w:t>
      </w:r>
      <w:r w:rsidR="00653FAA" w:rsidRPr="006D6E4A">
        <w:t xml:space="preserve">new items for </w:t>
      </w:r>
      <w:r w:rsidR="00B420CB" w:rsidRPr="006D6E4A">
        <w:t>closer</w:t>
      </w:r>
      <w:r w:rsidR="00BC28C0" w:rsidRPr="006D6E4A">
        <w:t xml:space="preserve"> cooperation</w:t>
      </w:r>
      <w:r w:rsidR="00241097" w:rsidRPr="006D6E4A">
        <w:t xml:space="preserve"> with the European Parliament</w:t>
      </w:r>
      <w:r w:rsidR="003A7C3D" w:rsidRPr="006D6E4A">
        <w:t>.</w:t>
      </w:r>
    </w:p>
    <w:p w:rsidR="00392BF9" w:rsidRPr="006D6E4A" w:rsidRDefault="00392BF9" w:rsidP="00BC283C">
      <w:pPr>
        <w:overflowPunct/>
        <w:adjustRightInd/>
        <w:textAlignment w:val="auto"/>
      </w:pPr>
    </w:p>
    <w:p w:rsidR="00241097" w:rsidRPr="006D6E4A" w:rsidRDefault="00392BF9" w:rsidP="00BC283C">
      <w:pPr>
        <w:overflowPunct/>
        <w:adjustRightInd/>
        <w:textAlignment w:val="auto"/>
      </w:pPr>
      <w:r w:rsidRPr="006D6E4A">
        <w:t>This work programme aims to provide guidelines for th</w:t>
      </w:r>
      <w:r w:rsidR="005205F6" w:rsidRPr="006D6E4A">
        <w:t>e work to be carried out in 2018</w:t>
      </w:r>
      <w:r w:rsidRPr="006D6E4A">
        <w:t xml:space="preserve"> and thereby help to ensure continuity and coherence in </w:t>
      </w:r>
      <w:r w:rsidR="00241097" w:rsidRPr="006D6E4A">
        <w:t>advancing</w:t>
      </w:r>
      <w:r w:rsidRPr="006D6E4A">
        <w:t xml:space="preserve"> current priorities and reinforcing </w:t>
      </w:r>
      <w:r w:rsidR="009F6184" w:rsidRPr="006D6E4A">
        <w:t xml:space="preserve">their </w:t>
      </w:r>
      <w:r w:rsidRPr="006D6E4A">
        <w:t>political impact.</w:t>
      </w:r>
    </w:p>
    <w:p w:rsidR="00241097" w:rsidRPr="006D6E4A" w:rsidRDefault="00241097" w:rsidP="00BC283C">
      <w:pPr>
        <w:overflowPunct/>
        <w:adjustRightInd/>
        <w:textAlignment w:val="auto"/>
      </w:pPr>
    </w:p>
    <w:p w:rsidR="003A7C3D" w:rsidRPr="006D6E4A" w:rsidRDefault="00392BF9" w:rsidP="00BC283C">
      <w:pPr>
        <w:overflowPunct/>
        <w:adjustRightInd/>
        <w:textAlignment w:val="auto"/>
      </w:pPr>
      <w:r w:rsidRPr="006D6E4A">
        <w:t xml:space="preserve">It aims to </w:t>
      </w:r>
      <w:r w:rsidR="00FE355B" w:rsidRPr="006D6E4A">
        <w:t xml:space="preserve">proactively and more dynamically progress </w:t>
      </w:r>
      <w:r w:rsidR="00294F5B" w:rsidRPr="006D6E4A">
        <w:t xml:space="preserve">on </w:t>
      </w:r>
      <w:r w:rsidR="00FE355B" w:rsidRPr="006D6E4A">
        <w:t xml:space="preserve">forward-looking, strategic and thematic planning, </w:t>
      </w:r>
      <w:r w:rsidR="00434B15" w:rsidRPr="006D6E4A">
        <w:t xml:space="preserve">to </w:t>
      </w:r>
      <w:r w:rsidR="00FE355B" w:rsidRPr="006D6E4A">
        <w:t xml:space="preserve">better </w:t>
      </w:r>
      <w:r w:rsidR="00434B15" w:rsidRPr="006D6E4A">
        <w:t>incorporate</w:t>
      </w:r>
      <w:r w:rsidR="00FE355B" w:rsidRPr="006D6E4A">
        <w:t xml:space="preserve"> CoR activities in</w:t>
      </w:r>
      <w:r w:rsidR="004A2AEC" w:rsidRPr="006D6E4A">
        <w:t>to</w:t>
      </w:r>
      <w:r w:rsidR="00FE355B" w:rsidRPr="006D6E4A">
        <w:t xml:space="preserve"> the inter-institutional calendar and </w:t>
      </w:r>
      <w:r w:rsidR="007F4E3B" w:rsidRPr="006D6E4A">
        <w:t xml:space="preserve">to ensure </w:t>
      </w:r>
      <w:r w:rsidR="00FE355B" w:rsidRPr="006D6E4A">
        <w:t xml:space="preserve">a more results-oriented and longer-term focus on </w:t>
      </w:r>
      <w:r w:rsidR="00241097" w:rsidRPr="006D6E4A">
        <w:t>priority policy areas.</w:t>
      </w:r>
    </w:p>
    <w:p w:rsidR="003A7C3D" w:rsidRPr="006D6E4A" w:rsidRDefault="003A7C3D" w:rsidP="00BC283C">
      <w:pPr>
        <w:overflowPunct/>
        <w:adjustRightInd/>
        <w:textAlignment w:val="auto"/>
      </w:pPr>
    </w:p>
    <w:p w:rsidR="00BD7F91" w:rsidRPr="006D6E4A" w:rsidRDefault="0069583E" w:rsidP="00BC283C">
      <w:pPr>
        <w:overflowPunct/>
        <w:adjustRightInd/>
        <w:textAlignment w:val="auto"/>
      </w:pPr>
      <w:r w:rsidRPr="006D6E4A">
        <w:t xml:space="preserve">Further to approval </w:t>
      </w:r>
      <w:r w:rsidR="00BD7F91" w:rsidRPr="006D6E4A">
        <w:t xml:space="preserve">by </w:t>
      </w:r>
      <w:r w:rsidR="00E946D3" w:rsidRPr="006D6E4A">
        <w:t xml:space="preserve">members of </w:t>
      </w:r>
      <w:r w:rsidR="008D5902" w:rsidRPr="006D6E4A">
        <w:t xml:space="preserve">the Commission for </w:t>
      </w:r>
      <w:r w:rsidR="00DB2621" w:rsidRPr="006D6E4A">
        <w:t xml:space="preserve">the </w:t>
      </w:r>
      <w:r w:rsidR="008D5902" w:rsidRPr="006D6E4A">
        <w:t xml:space="preserve">Environment, Climate change and Energy (ENVE) </w:t>
      </w:r>
      <w:r w:rsidR="00F130C7" w:rsidRPr="006D6E4A">
        <w:t xml:space="preserve">at </w:t>
      </w:r>
      <w:r w:rsidR="00CD7AED" w:rsidRPr="006D6E4A">
        <w:t>the</w:t>
      </w:r>
      <w:r w:rsidR="00BD7F91" w:rsidRPr="006D6E4A">
        <w:t xml:space="preserve"> meeting of </w:t>
      </w:r>
      <w:r w:rsidR="008D5902" w:rsidRPr="006D6E4A">
        <w:t>22 November</w:t>
      </w:r>
      <w:r w:rsidR="005205F6" w:rsidRPr="006D6E4A">
        <w:t xml:space="preserve"> 2017</w:t>
      </w:r>
      <w:r w:rsidR="00CD7AED" w:rsidRPr="006D6E4A">
        <w:t xml:space="preserve">, </w:t>
      </w:r>
      <w:r w:rsidRPr="006D6E4A">
        <w:t xml:space="preserve">the following work programme </w:t>
      </w:r>
      <w:r w:rsidR="0076506D" w:rsidRPr="006D6E4A">
        <w:t xml:space="preserve">will </w:t>
      </w:r>
      <w:r w:rsidR="00CD7AED" w:rsidRPr="006D6E4A">
        <w:t>be</w:t>
      </w:r>
      <w:r w:rsidR="00BD7F91" w:rsidRPr="006D6E4A">
        <w:t xml:space="preserve"> adopted by</w:t>
      </w:r>
      <w:r w:rsidR="005205F6" w:rsidRPr="006D6E4A">
        <w:t xml:space="preserve"> the CoR Bureau on 30 January 2018</w:t>
      </w:r>
      <w:r w:rsidR="00BD7F91" w:rsidRPr="006D6E4A">
        <w:t>.</w:t>
      </w:r>
    </w:p>
    <w:p w:rsidR="00BD7F91" w:rsidRPr="006D6E4A" w:rsidRDefault="00BD7F91" w:rsidP="00BC283C">
      <w:pPr>
        <w:overflowPunct/>
        <w:adjustRightInd/>
        <w:textAlignment w:val="auto"/>
      </w:pPr>
    </w:p>
    <w:p w:rsidR="00BD7F91" w:rsidRPr="006D6E4A" w:rsidRDefault="00BD7F91" w:rsidP="00BC283C">
      <w:pPr>
        <w:overflowPunct/>
        <w:adjustRightInd/>
        <w:textAlignment w:val="auto"/>
      </w:pPr>
      <w:r w:rsidRPr="006D6E4A">
        <w:t xml:space="preserve">The remit of the </w:t>
      </w:r>
      <w:r w:rsidR="00C14ADC" w:rsidRPr="006D6E4A">
        <w:t xml:space="preserve">ENVE </w:t>
      </w:r>
      <w:r w:rsidR="00364082" w:rsidRPr="006D6E4A">
        <w:t>C</w:t>
      </w:r>
      <w:r w:rsidR="008D5902" w:rsidRPr="006D6E4A">
        <w:t xml:space="preserve">ommission </w:t>
      </w:r>
      <w:r w:rsidRPr="006D6E4A">
        <w:t xml:space="preserve">covers the following </w:t>
      </w:r>
      <w:r w:rsidR="008E1B38" w:rsidRPr="006D6E4A">
        <w:t xml:space="preserve">policy </w:t>
      </w:r>
      <w:r w:rsidRPr="006D6E4A">
        <w:t>fields:</w:t>
      </w:r>
    </w:p>
    <w:p w:rsidR="00BD7F91" w:rsidRPr="006D6E4A" w:rsidRDefault="00BD7F91" w:rsidP="00BC283C">
      <w:pPr>
        <w:overflowPunct/>
        <w:adjustRightInd/>
        <w:textAlignment w:val="auto"/>
      </w:pPr>
    </w:p>
    <w:p w:rsidR="008E1B38" w:rsidRPr="006D6E4A" w:rsidRDefault="00BC283C" w:rsidP="00BC283C">
      <w:pPr>
        <w:pStyle w:val="ListParagraph"/>
        <w:numPr>
          <w:ilvl w:val="0"/>
          <w:numId w:val="35"/>
        </w:numPr>
        <w:overflowPunct/>
        <w:adjustRightInd/>
        <w:spacing w:after="200" w:line="276" w:lineRule="auto"/>
        <w:ind w:left="714" w:hanging="357"/>
        <w:jc w:val="left"/>
        <w:textAlignment w:val="auto"/>
      </w:pPr>
      <w:r w:rsidRPr="006D6E4A">
        <w:t>The environment;</w:t>
      </w:r>
    </w:p>
    <w:p w:rsidR="008D5902" w:rsidRPr="006D6E4A" w:rsidRDefault="00BC283C" w:rsidP="00BC283C">
      <w:pPr>
        <w:pStyle w:val="ListParagraph"/>
        <w:numPr>
          <w:ilvl w:val="0"/>
          <w:numId w:val="35"/>
        </w:numPr>
        <w:overflowPunct/>
        <w:adjustRightInd/>
        <w:spacing w:after="200" w:line="276" w:lineRule="auto"/>
        <w:ind w:left="714" w:hanging="357"/>
        <w:jc w:val="left"/>
        <w:textAlignment w:val="auto"/>
      </w:pPr>
      <w:r w:rsidRPr="006D6E4A">
        <w:t>Climate change mitigation and adaptation;</w:t>
      </w:r>
    </w:p>
    <w:p w:rsidR="008D5902" w:rsidRPr="006D6E4A" w:rsidRDefault="00BC283C" w:rsidP="00BC283C">
      <w:pPr>
        <w:pStyle w:val="ListParagraph"/>
        <w:numPr>
          <w:ilvl w:val="0"/>
          <w:numId w:val="35"/>
        </w:numPr>
        <w:overflowPunct/>
        <w:adjustRightInd/>
        <w:spacing w:after="200" w:line="276" w:lineRule="auto"/>
        <w:ind w:left="714" w:hanging="357"/>
        <w:jc w:val="left"/>
        <w:textAlignment w:val="auto"/>
      </w:pPr>
      <w:r w:rsidRPr="006D6E4A">
        <w:t>Energy;</w:t>
      </w:r>
    </w:p>
    <w:p w:rsidR="008D5902" w:rsidRPr="006D6E4A" w:rsidRDefault="00BC283C" w:rsidP="00BC283C">
      <w:pPr>
        <w:pStyle w:val="ListParagraph"/>
        <w:numPr>
          <w:ilvl w:val="0"/>
          <w:numId w:val="35"/>
        </w:numPr>
        <w:overflowPunct/>
        <w:adjustRightInd/>
        <w:spacing w:after="200" w:line="276" w:lineRule="auto"/>
        <w:ind w:left="714" w:hanging="357"/>
        <w:jc w:val="left"/>
        <w:textAlignment w:val="auto"/>
      </w:pPr>
      <w:r w:rsidRPr="006D6E4A">
        <w:t>Space policy for territorial development.</w:t>
      </w:r>
    </w:p>
    <w:p w:rsidR="00BD7F91" w:rsidRPr="006D6E4A" w:rsidRDefault="00A400EF" w:rsidP="00BC283C">
      <w:pPr>
        <w:overflowPunct/>
        <w:adjustRightInd/>
        <w:spacing w:after="200" w:line="276" w:lineRule="auto"/>
        <w:jc w:val="left"/>
        <w:textAlignment w:val="auto"/>
      </w:pPr>
      <w:r w:rsidRPr="006D6E4A">
        <w:br w:type="page"/>
      </w:r>
    </w:p>
    <w:p w:rsidR="00BD7F91" w:rsidRPr="006D6E4A" w:rsidRDefault="00BD7F91" w:rsidP="00840188">
      <w:pPr>
        <w:keepNext/>
        <w:numPr>
          <w:ilvl w:val="0"/>
          <w:numId w:val="1"/>
        </w:numPr>
        <w:tabs>
          <w:tab w:val="left" w:pos="567"/>
        </w:tabs>
        <w:overflowPunct/>
        <w:adjustRightInd/>
        <w:textAlignment w:val="auto"/>
        <w:outlineLvl w:val="0"/>
        <w:rPr>
          <w:b/>
        </w:rPr>
      </w:pPr>
      <w:r w:rsidRPr="006D6E4A">
        <w:rPr>
          <w:b/>
        </w:rPr>
        <w:lastRenderedPageBreak/>
        <w:tab/>
      </w:r>
      <w:r w:rsidR="006D7C65" w:rsidRPr="006D6E4A">
        <w:rPr>
          <w:b/>
        </w:rPr>
        <w:t>Priorities of the ENVE commission</w:t>
      </w:r>
    </w:p>
    <w:p w:rsidR="00392BF9" w:rsidRPr="006D6E4A" w:rsidRDefault="00392BF9" w:rsidP="00BC283C">
      <w:pPr>
        <w:keepNext/>
        <w:overflowPunct/>
        <w:adjustRightInd/>
        <w:textAlignment w:val="auto"/>
      </w:pPr>
    </w:p>
    <w:p w:rsidR="00392BF9" w:rsidRPr="006D6E4A" w:rsidRDefault="000A2134" w:rsidP="00840188">
      <w:pPr>
        <w:keepNext/>
        <w:numPr>
          <w:ilvl w:val="1"/>
          <w:numId w:val="1"/>
        </w:numPr>
        <w:overflowPunct/>
        <w:adjustRightInd/>
        <w:ind w:left="567" w:hanging="567"/>
        <w:textAlignment w:val="auto"/>
        <w:outlineLvl w:val="1"/>
        <w:rPr>
          <w:b/>
        </w:rPr>
      </w:pPr>
      <w:r w:rsidRPr="006D6E4A">
        <w:rPr>
          <w:b/>
        </w:rPr>
        <w:t>Priority policy areas</w:t>
      </w:r>
      <w:r w:rsidR="009E052D" w:rsidRPr="006D6E4A">
        <w:rPr>
          <w:rStyle w:val="FootnoteReference"/>
        </w:rPr>
        <w:footnoteReference w:id="3"/>
      </w:r>
    </w:p>
    <w:p w:rsidR="00BD7F91" w:rsidRPr="006D6E4A" w:rsidRDefault="00BD7F91" w:rsidP="00BC283C">
      <w:pPr>
        <w:keepNext/>
        <w:overflowPunct/>
        <w:adjustRightInd/>
        <w:textAlignment w:val="auto"/>
      </w:pPr>
    </w:p>
    <w:p w:rsidR="006D7C65" w:rsidRPr="006D6E4A" w:rsidRDefault="006D7C65" w:rsidP="00BC283C">
      <w:pPr>
        <w:overflowPunct/>
        <w:adjustRightInd/>
        <w:textAlignment w:val="auto"/>
      </w:pPr>
      <w:r w:rsidRPr="006D6E4A">
        <w:t>The ENVE commission will concentrate its efforts on the following priority policy areas:</w:t>
      </w:r>
    </w:p>
    <w:p w:rsidR="00565AF6" w:rsidRPr="006D6E4A" w:rsidRDefault="00565AF6" w:rsidP="00BC283C">
      <w:pPr>
        <w:keepNext/>
        <w:overflowPunct/>
        <w:adjustRightInd/>
        <w:textAlignment w:val="auto"/>
      </w:pPr>
    </w:p>
    <w:p w:rsidR="00565AF6" w:rsidRPr="006D6E4A" w:rsidRDefault="00D90753" w:rsidP="00840188">
      <w:pPr>
        <w:keepNext/>
        <w:numPr>
          <w:ilvl w:val="0"/>
          <w:numId w:val="5"/>
        </w:numPr>
        <w:overflowPunct/>
        <w:adjustRightInd/>
        <w:ind w:left="567" w:hanging="283"/>
        <w:textAlignment w:val="auto"/>
        <w:rPr>
          <w:b/>
          <w:i/>
        </w:rPr>
      </w:pPr>
      <w:r w:rsidRPr="006D6E4A">
        <w:rPr>
          <w:b/>
        </w:rPr>
        <w:t xml:space="preserve">The </w:t>
      </w:r>
      <w:r w:rsidR="009535F5" w:rsidRPr="006D6E4A">
        <w:rPr>
          <w:b/>
        </w:rPr>
        <w:t>Circular Economy</w:t>
      </w:r>
      <w:r w:rsidR="00B536D5" w:rsidRPr="006D6E4A">
        <w:rPr>
          <w:b/>
        </w:rPr>
        <w:t xml:space="preserve"> </w:t>
      </w:r>
    </w:p>
    <w:p w:rsidR="00840188" w:rsidRPr="006D6E4A" w:rsidRDefault="00840188" w:rsidP="00BC283C">
      <w:pPr>
        <w:overflowPunct/>
        <w:adjustRightInd/>
        <w:textAlignment w:val="auto"/>
      </w:pPr>
    </w:p>
    <w:p w:rsidR="009535F5" w:rsidRPr="006D6E4A" w:rsidRDefault="009535F5" w:rsidP="00BC283C">
      <w:pPr>
        <w:overflowPunct/>
        <w:adjustRightInd/>
        <w:textAlignment w:val="auto"/>
      </w:pPr>
      <w:r w:rsidRPr="006D6E4A">
        <w:t xml:space="preserve">Following on </w:t>
      </w:r>
      <w:r w:rsidR="00653B6B" w:rsidRPr="006D6E4A">
        <w:t xml:space="preserve">previous </w:t>
      </w:r>
      <w:r w:rsidRPr="006D6E4A">
        <w:t xml:space="preserve">CoR opinions, the ENVE </w:t>
      </w:r>
      <w:r w:rsidR="00364082" w:rsidRPr="006D6E4A">
        <w:t>C</w:t>
      </w:r>
      <w:r w:rsidRPr="006D6E4A">
        <w:t>ommission will seek to influence the decision</w:t>
      </w:r>
      <w:r w:rsidR="00171FFD" w:rsidRPr="006D6E4A">
        <w:t>-</w:t>
      </w:r>
      <w:r w:rsidRPr="006D6E4A">
        <w:t>making of the European Parliament and Council on the waste legislative proposals</w:t>
      </w:r>
      <w:r w:rsidR="00D07CB4" w:rsidRPr="006D6E4A">
        <w:t xml:space="preserve"> and on the </w:t>
      </w:r>
      <w:r w:rsidR="00653B6B" w:rsidRPr="006D6E4A">
        <w:t xml:space="preserve">additional </w:t>
      </w:r>
      <w:r w:rsidR="00D07CB4" w:rsidRPr="006D6E4A">
        <w:t xml:space="preserve">initiatives </w:t>
      </w:r>
      <w:r w:rsidR="000D0029" w:rsidRPr="006D6E4A">
        <w:t xml:space="preserve">provide for </w:t>
      </w:r>
      <w:r w:rsidR="00D07CB4" w:rsidRPr="006D6E4A">
        <w:t>by the European Commission</w:t>
      </w:r>
      <w:r w:rsidR="00E164C7" w:rsidRPr="006D6E4A">
        <w:t>'s</w:t>
      </w:r>
      <w:r w:rsidR="00D07CB4" w:rsidRPr="006D6E4A">
        <w:t xml:space="preserve"> </w:t>
      </w:r>
      <w:r w:rsidR="001C0C4C" w:rsidRPr="006D6E4A">
        <w:t xml:space="preserve">Work Programme </w:t>
      </w:r>
      <w:r w:rsidR="00653B6B" w:rsidRPr="006D6E4A">
        <w:t xml:space="preserve">2018 </w:t>
      </w:r>
      <w:r w:rsidR="00D07CB4" w:rsidRPr="006D6E4A">
        <w:t>(</w:t>
      </w:r>
      <w:r w:rsidRPr="006D6E4A">
        <w:t xml:space="preserve">2 legislative and </w:t>
      </w:r>
      <w:proofErr w:type="gramStart"/>
      <w:r w:rsidRPr="006D6E4A">
        <w:t>3 non</w:t>
      </w:r>
      <w:r w:rsidR="005B1CE6" w:rsidRPr="006D6E4A">
        <w:t>-</w:t>
      </w:r>
      <w:r w:rsidRPr="006D6E4A">
        <w:t>legislative</w:t>
      </w:r>
      <w:proofErr w:type="gramEnd"/>
      <w:r w:rsidR="00D07CB4" w:rsidRPr="006D6E4A">
        <w:t>)</w:t>
      </w:r>
      <w:r w:rsidRPr="006D6E4A">
        <w:t xml:space="preserve"> to deliver on the Circular Economy Action Plan.</w:t>
      </w:r>
    </w:p>
    <w:p w:rsidR="0069583E" w:rsidRPr="006D6E4A" w:rsidRDefault="0069583E" w:rsidP="00BC283C">
      <w:pPr>
        <w:overflowPunct/>
        <w:adjustRightInd/>
        <w:textAlignment w:val="auto"/>
      </w:pPr>
    </w:p>
    <w:p w:rsidR="003A3A7C" w:rsidRPr="006D6E4A" w:rsidRDefault="0069583E" w:rsidP="00BC283C">
      <w:pPr>
        <w:overflowPunct/>
        <w:adjustRightInd/>
        <w:textAlignment w:val="auto"/>
      </w:pPr>
      <w:r w:rsidRPr="006D6E4A">
        <w:t>P</w:t>
      </w:r>
      <w:r w:rsidR="003A3A7C" w:rsidRPr="006D6E4A">
        <w:t>ossible cooperation with the Circular Economy Stakeholder Platform</w:t>
      </w:r>
      <w:r w:rsidRPr="006D6E4A">
        <w:t xml:space="preserve"> is currently being explored</w:t>
      </w:r>
      <w:r w:rsidR="003A3A7C" w:rsidRPr="006D6E4A">
        <w:t>.</w:t>
      </w:r>
      <w:r w:rsidR="00762699" w:rsidRPr="006D6E4A">
        <w:t xml:space="preserve"> Information on the organization of the coordination group is expected in the short term.</w:t>
      </w:r>
    </w:p>
    <w:p w:rsidR="009C2CA6" w:rsidRPr="006D6E4A" w:rsidRDefault="009C2CA6" w:rsidP="00BC283C">
      <w:pPr>
        <w:keepNext/>
        <w:overflowPunct/>
        <w:adjustRightInd/>
        <w:textAlignment w:val="auto"/>
      </w:pPr>
    </w:p>
    <w:p w:rsidR="006B6751" w:rsidRPr="006D6E4A" w:rsidRDefault="006B6751" w:rsidP="00840188">
      <w:pPr>
        <w:keepNext/>
        <w:numPr>
          <w:ilvl w:val="0"/>
          <w:numId w:val="5"/>
        </w:numPr>
        <w:overflowPunct/>
        <w:adjustRightInd/>
        <w:ind w:left="567" w:hanging="283"/>
        <w:textAlignment w:val="auto"/>
        <w:rPr>
          <w:b/>
          <w:i/>
        </w:rPr>
      </w:pPr>
      <w:r w:rsidRPr="006D6E4A">
        <w:rPr>
          <w:b/>
        </w:rPr>
        <w:t>Local and regional action to implement the Paris Agreement on climate change</w:t>
      </w:r>
    </w:p>
    <w:p w:rsidR="00840188" w:rsidRPr="006D6E4A" w:rsidRDefault="00840188" w:rsidP="00BC283C">
      <w:pPr>
        <w:overflowPunct/>
        <w:adjustRightInd/>
        <w:textAlignment w:val="auto"/>
      </w:pPr>
    </w:p>
    <w:p w:rsidR="006B6751" w:rsidRPr="006D6E4A" w:rsidRDefault="006B6751" w:rsidP="00BC283C">
      <w:pPr>
        <w:overflowPunct/>
        <w:adjustRightInd/>
        <w:textAlignment w:val="auto"/>
      </w:pPr>
      <w:r w:rsidRPr="006D6E4A">
        <w:t xml:space="preserve">Following the ratification of the Paris Agreement in December 2015, the ENVE Commission will concentrate on </w:t>
      </w:r>
      <w:r w:rsidR="00900CF1" w:rsidRPr="006D6E4A">
        <w:t>its</w:t>
      </w:r>
      <w:r w:rsidRPr="006D6E4A">
        <w:t xml:space="preserve"> implementation</w:t>
      </w:r>
      <w:r w:rsidR="0069583E" w:rsidRPr="006D6E4A">
        <w:t xml:space="preserve">, </w:t>
      </w:r>
      <w:r w:rsidR="001A0867" w:rsidRPr="006D6E4A">
        <w:t>focusing in</w:t>
      </w:r>
      <w:r w:rsidR="0069583E" w:rsidRPr="006D6E4A">
        <w:t xml:space="preserve"> particular </w:t>
      </w:r>
      <w:r w:rsidR="001A0867" w:rsidRPr="006D6E4A">
        <w:t>on</w:t>
      </w:r>
      <w:r w:rsidR="0069583E" w:rsidRPr="006D6E4A">
        <w:t xml:space="preserve"> the local and regional</w:t>
      </w:r>
      <w:r w:rsidRPr="006D6E4A">
        <w:t xml:space="preserve"> level</w:t>
      </w:r>
      <w:r w:rsidR="0069583E" w:rsidRPr="006D6E4A">
        <w:t xml:space="preserve"> of governance</w:t>
      </w:r>
      <w:r w:rsidRPr="006D6E4A">
        <w:t>.</w:t>
      </w:r>
    </w:p>
    <w:p w:rsidR="006B6751" w:rsidRPr="006D6E4A" w:rsidRDefault="006B6751" w:rsidP="00BC283C">
      <w:pPr>
        <w:overflowPunct/>
        <w:adjustRightInd/>
        <w:textAlignment w:val="auto"/>
      </w:pPr>
    </w:p>
    <w:p w:rsidR="00A37D3A" w:rsidRPr="006D6E4A" w:rsidRDefault="00900CF1" w:rsidP="00BC283C">
      <w:pPr>
        <w:overflowPunct/>
        <w:adjustRightInd/>
        <w:textAlignment w:val="auto"/>
      </w:pPr>
      <w:r w:rsidRPr="006D6E4A">
        <w:t xml:space="preserve">The CoR contributed to </w:t>
      </w:r>
      <w:r w:rsidR="006B6751" w:rsidRPr="006D6E4A">
        <w:t>the evaluation of the EU strategy on adaptation to climate change</w:t>
      </w:r>
      <w:r w:rsidR="00A37D3A" w:rsidRPr="006D6E4A">
        <w:t xml:space="preserve"> </w:t>
      </w:r>
      <w:r w:rsidRPr="006D6E4A">
        <w:t xml:space="preserve">through an </w:t>
      </w:r>
      <w:r w:rsidR="00A37D3A" w:rsidRPr="006D6E4A">
        <w:t>o</w:t>
      </w:r>
      <w:r w:rsidR="006B6751" w:rsidRPr="006D6E4A">
        <w:t xml:space="preserve">pinion </w:t>
      </w:r>
      <w:r w:rsidRPr="006D6E4A">
        <w:t xml:space="preserve">ahead of </w:t>
      </w:r>
      <w:r w:rsidR="006B6751" w:rsidRPr="006D6E4A">
        <w:t xml:space="preserve">the </w:t>
      </w:r>
      <w:r w:rsidRPr="006D6E4A">
        <w:t xml:space="preserve">strategy </w:t>
      </w:r>
      <w:r w:rsidR="006B6751" w:rsidRPr="006D6E4A">
        <w:t xml:space="preserve">review. </w:t>
      </w:r>
      <w:r w:rsidRPr="006D6E4A">
        <w:t>T</w:t>
      </w:r>
      <w:r w:rsidR="00A37D3A" w:rsidRPr="006D6E4A">
        <w:t xml:space="preserve">he ENVE Commission will keep monitoring its adoption and implementation process, including through its established </w:t>
      </w:r>
      <w:r w:rsidR="006B6751" w:rsidRPr="006D6E4A">
        <w:t>collaboration with the European Commission's relevant services</w:t>
      </w:r>
      <w:r w:rsidR="00A37D3A" w:rsidRPr="006D6E4A">
        <w:t xml:space="preserve">, </w:t>
      </w:r>
      <w:r w:rsidR="006B6751" w:rsidRPr="006D6E4A">
        <w:t>regional representations</w:t>
      </w:r>
      <w:r w:rsidR="00A37D3A" w:rsidRPr="006D6E4A">
        <w:t>,</w:t>
      </w:r>
      <w:r w:rsidR="006B6751" w:rsidRPr="006D6E4A">
        <w:t xml:space="preserve"> </w:t>
      </w:r>
      <w:r w:rsidR="00A37D3A" w:rsidRPr="006D6E4A">
        <w:t xml:space="preserve">and other actors working in this policy area. </w:t>
      </w:r>
      <w:r w:rsidR="0069583E" w:rsidRPr="006D6E4A">
        <w:t>In this context, t</w:t>
      </w:r>
      <w:r w:rsidR="00A37D3A" w:rsidRPr="006D6E4A">
        <w:t xml:space="preserve">he ENVE Commission will </w:t>
      </w:r>
      <w:r w:rsidRPr="006D6E4A">
        <w:t>highlight</w:t>
      </w:r>
      <w:r w:rsidR="006B6751" w:rsidRPr="006D6E4A">
        <w:t xml:space="preserve"> local adaptation </w:t>
      </w:r>
      <w:r w:rsidR="00A37D3A" w:rsidRPr="006D6E4A">
        <w:t xml:space="preserve">practices and measures </w:t>
      </w:r>
      <w:r w:rsidR="006B6751" w:rsidRPr="006D6E4A">
        <w:t xml:space="preserve">and </w:t>
      </w:r>
      <w:r w:rsidR="00A37D3A" w:rsidRPr="006D6E4A">
        <w:t xml:space="preserve">will </w:t>
      </w:r>
      <w:r w:rsidR="006B6751" w:rsidRPr="006D6E4A">
        <w:t xml:space="preserve">facilitate the </w:t>
      </w:r>
      <w:r w:rsidRPr="006D6E4A">
        <w:t xml:space="preserve">exchange </w:t>
      </w:r>
      <w:r w:rsidR="006B6751" w:rsidRPr="006D6E4A">
        <w:t>of information o</w:t>
      </w:r>
      <w:r w:rsidR="0069583E" w:rsidRPr="006D6E4A">
        <w:t>n</w:t>
      </w:r>
      <w:r w:rsidR="006B6751" w:rsidRPr="006D6E4A">
        <w:t xml:space="preserve"> capacity-buildi</w:t>
      </w:r>
      <w:r w:rsidR="00A37D3A" w:rsidRPr="006D6E4A">
        <w:t>ng and financing opportunities.</w:t>
      </w:r>
      <w:r w:rsidR="008C04FB" w:rsidRPr="006D6E4A">
        <w:t xml:space="preserve"> It will also pay particular attention to issues such as energy efficiency, clean energy sources (especially renewable energy), sustainable heating and cooling, and strengthening local energy communities.</w:t>
      </w:r>
    </w:p>
    <w:p w:rsidR="009F4232" w:rsidRPr="006D6E4A" w:rsidRDefault="009F4232" w:rsidP="00BC283C">
      <w:pPr>
        <w:overflowPunct/>
        <w:adjustRightInd/>
        <w:textAlignment w:val="auto"/>
      </w:pPr>
    </w:p>
    <w:p w:rsidR="00900CF1" w:rsidRPr="006D6E4A" w:rsidRDefault="0069583E" w:rsidP="00BC283C">
      <w:pPr>
        <w:overflowPunct/>
        <w:adjustRightInd/>
        <w:textAlignment w:val="auto"/>
      </w:pPr>
      <w:r w:rsidRPr="006D6E4A">
        <w:t>Moreover, t</w:t>
      </w:r>
      <w:r w:rsidR="009F4232" w:rsidRPr="006D6E4A">
        <w:t xml:space="preserve">he CoR will </w:t>
      </w:r>
      <w:r w:rsidR="00900CF1" w:rsidRPr="006D6E4A">
        <w:t>continue to follow</w:t>
      </w:r>
      <w:r w:rsidR="00113FF5" w:rsidRPr="006D6E4A">
        <w:t xml:space="preserve"> </w:t>
      </w:r>
      <w:r w:rsidR="009F4232" w:rsidRPr="006D6E4A">
        <w:t>the application of the Paris Agreement in terms of new climate governance</w:t>
      </w:r>
      <w:r w:rsidR="00900CF1" w:rsidRPr="006D6E4A">
        <w:t>. It</w:t>
      </w:r>
      <w:r w:rsidR="009F4232" w:rsidRPr="006D6E4A">
        <w:t xml:space="preserve"> </w:t>
      </w:r>
      <w:r w:rsidR="001D7DB4" w:rsidRPr="006D6E4A">
        <w:t xml:space="preserve">will </w:t>
      </w:r>
      <w:r w:rsidR="009F4232" w:rsidRPr="006D6E4A">
        <w:t xml:space="preserve">further encourage </w:t>
      </w:r>
      <w:r w:rsidR="00185B20" w:rsidRPr="006D6E4A">
        <w:t xml:space="preserve">the relevant </w:t>
      </w:r>
      <w:r w:rsidR="009F4232" w:rsidRPr="006D6E4A">
        <w:t xml:space="preserve">EU and UNFCCC </w:t>
      </w:r>
      <w:r w:rsidR="00185B20" w:rsidRPr="006D6E4A">
        <w:t>bodies</w:t>
      </w:r>
      <w:r w:rsidR="009F4232" w:rsidRPr="006D6E4A">
        <w:t xml:space="preserve"> to</w:t>
      </w:r>
      <w:r w:rsidR="00900CF1" w:rsidRPr="006D6E4A">
        <w:t xml:space="preserve"> strengthen</w:t>
      </w:r>
      <w:r w:rsidR="009F4232" w:rsidRPr="006D6E4A">
        <w:t xml:space="preserve"> multi-level governance </w:t>
      </w:r>
      <w:r w:rsidR="00900CF1" w:rsidRPr="006D6E4A">
        <w:t>and to more extensively involve local and regional authorities in the formulation of climate policies. In addition, it will work towards promoting the establishment of a system of locally and regionally determined contributions, in addition to the Nationally Determined Contributions, as an important feature of delivering the climate change obligations of the Paris Agreement</w:t>
      </w:r>
      <w:r w:rsidR="009F4232" w:rsidRPr="006D6E4A">
        <w:t>.</w:t>
      </w:r>
      <w:r w:rsidR="00185B20" w:rsidRPr="006D6E4A">
        <w:t xml:space="preserve"> </w:t>
      </w:r>
    </w:p>
    <w:p w:rsidR="00900CF1" w:rsidRPr="006D6E4A" w:rsidRDefault="00900CF1" w:rsidP="00BC283C">
      <w:pPr>
        <w:overflowPunct/>
        <w:adjustRightInd/>
        <w:textAlignment w:val="auto"/>
      </w:pPr>
    </w:p>
    <w:p w:rsidR="009F4232" w:rsidRPr="006D6E4A" w:rsidRDefault="00910DDF" w:rsidP="00BC283C">
      <w:pPr>
        <w:overflowPunct/>
        <w:adjustRightInd/>
        <w:textAlignment w:val="auto"/>
      </w:pPr>
      <w:r w:rsidRPr="006D6E4A">
        <w:t xml:space="preserve">In order to make its message heard, the ENVE Commission </w:t>
      </w:r>
      <w:r w:rsidR="00900CF1" w:rsidRPr="006D6E4A">
        <w:t>may</w:t>
      </w:r>
      <w:r w:rsidRPr="006D6E4A">
        <w:t xml:space="preserve"> </w:t>
      </w:r>
      <w:r w:rsidR="006F05AC" w:rsidRPr="006D6E4A">
        <w:t xml:space="preserve">draw up </w:t>
      </w:r>
      <w:r w:rsidRPr="006D6E4A">
        <w:t xml:space="preserve">an own-initiative opinion </w:t>
      </w:r>
      <w:r w:rsidR="00900CF1" w:rsidRPr="006D6E4A">
        <w:t xml:space="preserve">or a resolution </w:t>
      </w:r>
      <w:r w:rsidR="00174EC3" w:rsidRPr="006D6E4A">
        <w:t>aimed at</w:t>
      </w:r>
      <w:r w:rsidRPr="006D6E4A">
        <w:t xml:space="preserve"> influenc</w:t>
      </w:r>
      <w:r w:rsidR="00174EC3" w:rsidRPr="006D6E4A">
        <w:t>ing</w:t>
      </w:r>
      <w:r w:rsidRPr="006D6E4A">
        <w:t xml:space="preserve"> the debate in the run-up to the next COP24 to be held in Katowice (Poland) in </w:t>
      </w:r>
      <w:r w:rsidR="009C5A61" w:rsidRPr="006D6E4A">
        <w:t xml:space="preserve">autumn </w:t>
      </w:r>
      <w:r w:rsidRPr="006D6E4A">
        <w:t>2018.</w:t>
      </w:r>
    </w:p>
    <w:p w:rsidR="009F4232" w:rsidRPr="006D6E4A" w:rsidRDefault="009F4232" w:rsidP="00BC283C">
      <w:pPr>
        <w:overflowPunct/>
        <w:adjustRightInd/>
        <w:textAlignment w:val="auto"/>
      </w:pPr>
    </w:p>
    <w:p w:rsidR="00A37D3A" w:rsidRPr="006D6E4A" w:rsidRDefault="00900CF1" w:rsidP="00BC283C">
      <w:pPr>
        <w:overflowPunct/>
        <w:adjustRightInd/>
        <w:textAlignment w:val="auto"/>
      </w:pPr>
      <w:r w:rsidRPr="006D6E4A">
        <w:lastRenderedPageBreak/>
        <w:t>Building on the opinion on climate finance adopted in the run up to COP23 in Bonn, t</w:t>
      </w:r>
      <w:r w:rsidR="00CA0A9A" w:rsidRPr="006D6E4A">
        <w:t xml:space="preserve">he ENVE Commission </w:t>
      </w:r>
      <w:r w:rsidR="009F4232" w:rsidRPr="006D6E4A">
        <w:t>will encourage communication between local and regional authorities themselves</w:t>
      </w:r>
      <w:r w:rsidR="00CA0A9A" w:rsidRPr="006D6E4A">
        <w:t>,</w:t>
      </w:r>
      <w:r w:rsidR="009F4232" w:rsidRPr="006D6E4A">
        <w:t xml:space="preserve"> and with the EU institutions</w:t>
      </w:r>
      <w:r w:rsidR="00CA0A9A" w:rsidRPr="006D6E4A">
        <w:t>,</w:t>
      </w:r>
      <w:r w:rsidR="009F4232" w:rsidRPr="006D6E4A">
        <w:t xml:space="preserve"> </w:t>
      </w:r>
      <w:r w:rsidR="006F2376" w:rsidRPr="006D6E4A">
        <w:t xml:space="preserve">on the </w:t>
      </w:r>
      <w:r w:rsidR="009F4232" w:rsidRPr="006D6E4A">
        <w:t xml:space="preserve">needs for </w:t>
      </w:r>
      <w:r w:rsidRPr="006D6E4A">
        <w:t xml:space="preserve">and access to </w:t>
      </w:r>
      <w:r w:rsidR="009F4232" w:rsidRPr="006D6E4A">
        <w:t>financi</w:t>
      </w:r>
      <w:r w:rsidRPr="006D6E4A">
        <w:t>al</w:t>
      </w:r>
      <w:r w:rsidR="009F4232" w:rsidRPr="006D6E4A">
        <w:t xml:space="preserve"> and technical assistance, </w:t>
      </w:r>
      <w:r w:rsidRPr="006D6E4A">
        <w:t xml:space="preserve"> as well as</w:t>
      </w:r>
      <w:r w:rsidR="006363D9" w:rsidRPr="006D6E4A">
        <w:t xml:space="preserve"> on</w:t>
      </w:r>
      <w:r w:rsidR="009F4232" w:rsidRPr="006D6E4A">
        <w:t xml:space="preserve"> </w:t>
      </w:r>
      <w:r w:rsidR="00E1152D" w:rsidRPr="006D6E4A">
        <w:t xml:space="preserve">the </w:t>
      </w:r>
      <w:r w:rsidR="009F4232" w:rsidRPr="006D6E4A">
        <w:t xml:space="preserve">level of ambition </w:t>
      </w:r>
      <w:r w:rsidR="006363D9" w:rsidRPr="006D6E4A">
        <w:t>of the climate policy</w:t>
      </w:r>
      <w:r w:rsidR="009F4232" w:rsidRPr="006D6E4A">
        <w:t>. In this context</w:t>
      </w:r>
      <w:r w:rsidR="006661E3" w:rsidRPr="006D6E4A">
        <w:t>,</w:t>
      </w:r>
      <w:r w:rsidR="009F4232" w:rsidRPr="006D6E4A">
        <w:t xml:space="preserve"> it will seek to contribute proactively at all levels to the use of all EU instruments and funds available to finance the transition to resilient and low-carbon societies</w:t>
      </w:r>
      <w:r w:rsidR="006363D9" w:rsidRPr="006D6E4A">
        <w:t>, f</w:t>
      </w:r>
      <w:r w:rsidR="00A37D3A" w:rsidRPr="006D6E4A">
        <w:t xml:space="preserve">ollowing the </w:t>
      </w:r>
      <w:r w:rsidR="003F5735" w:rsidRPr="006D6E4A">
        <w:t>successful series of activities on climate finance organi</w:t>
      </w:r>
      <w:r w:rsidR="006661E3" w:rsidRPr="006D6E4A">
        <w:t>s</w:t>
      </w:r>
      <w:r w:rsidR="003F5735" w:rsidRPr="006D6E4A">
        <w:t>ed in 2017. It will also keep advocating the integration of specific climate targets and benchmarks in the negotiation</w:t>
      </w:r>
      <w:r w:rsidR="00D12368" w:rsidRPr="006D6E4A">
        <w:t>s</w:t>
      </w:r>
      <w:r w:rsidR="003F5735" w:rsidRPr="006D6E4A">
        <w:t xml:space="preserve"> </w:t>
      </w:r>
      <w:r w:rsidR="00D12368" w:rsidRPr="006D6E4A">
        <w:t xml:space="preserve">for </w:t>
      </w:r>
      <w:r w:rsidR="003F5735" w:rsidRPr="006D6E4A">
        <w:t>the new Multiannual Financial Framework (MFF) and will closely follow the discussions on the integration of climate</w:t>
      </w:r>
      <w:r w:rsidR="008B3672" w:rsidRPr="006D6E4A">
        <w:t>-</w:t>
      </w:r>
      <w:r w:rsidR="003F5735" w:rsidRPr="006D6E4A">
        <w:t>related considerations in the financial and banking sectors.</w:t>
      </w:r>
    </w:p>
    <w:p w:rsidR="00CA0A9A" w:rsidRPr="006D6E4A" w:rsidRDefault="00CA0A9A" w:rsidP="00BC283C">
      <w:pPr>
        <w:overflowPunct/>
        <w:adjustRightInd/>
        <w:textAlignment w:val="auto"/>
      </w:pPr>
    </w:p>
    <w:p w:rsidR="00313E42" w:rsidRPr="006D6E4A" w:rsidRDefault="00313E42" w:rsidP="00BC283C">
      <w:pPr>
        <w:overflowPunct/>
        <w:adjustRightInd/>
        <w:textAlignment w:val="auto"/>
      </w:pPr>
      <w:r w:rsidRPr="006D6E4A">
        <w:t xml:space="preserve">As part of the follow-up to the </w:t>
      </w:r>
      <w:proofErr w:type="spellStart"/>
      <w:r w:rsidRPr="006D6E4A">
        <w:t>CoR's</w:t>
      </w:r>
      <w:proofErr w:type="spellEnd"/>
      <w:r w:rsidRPr="006D6E4A">
        <w:t xml:space="preserve"> COP23 efforts</w:t>
      </w:r>
      <w:r w:rsidR="006363D9" w:rsidRPr="006D6E4A">
        <w:t xml:space="preserve"> to ensure the Paris Agreement obligation are met</w:t>
      </w:r>
      <w:r w:rsidRPr="006D6E4A">
        <w:t>, the ENVE Commission will seek to establish and consolidate a new coalition with local and sub-national authorities in North America with the aim of developing the "Transatlantic Dialogue" within the Global Covenant of Mayors. The transatlantic chapter of the Global Covenant of Mayors for Climate and Energy is the backbone of global determination to fight against climate change, as cities in the EU, Canada and the US are home to the most advanced technologies and governance solutions.</w:t>
      </w:r>
      <w:r w:rsidR="00471B86" w:rsidRPr="006D6E4A">
        <w:t xml:space="preserve"> The </w:t>
      </w:r>
      <w:r w:rsidR="006363D9" w:rsidRPr="006D6E4A">
        <w:t xml:space="preserve">ENVE Commission will seek to </w:t>
      </w:r>
      <w:r w:rsidR="00C959C2" w:rsidRPr="006D6E4A">
        <w:t xml:space="preserve">help </w:t>
      </w:r>
      <w:r w:rsidR="00471B86" w:rsidRPr="006D6E4A">
        <w:t xml:space="preserve">open a direct channel of communication between local authorities from both sides of the Atlantic in order to </w:t>
      </w:r>
      <w:r w:rsidR="00C811D5" w:rsidRPr="006D6E4A">
        <w:t>discuss</w:t>
      </w:r>
      <w:r w:rsidR="00471B86" w:rsidRPr="006D6E4A">
        <w:t xml:space="preserve"> concrete </w:t>
      </w:r>
      <w:r w:rsidR="00C811D5" w:rsidRPr="006D6E4A">
        <w:t xml:space="preserve">measures </w:t>
      </w:r>
      <w:r w:rsidR="00471B86" w:rsidRPr="006D6E4A">
        <w:t>to reduce carbon footprint.</w:t>
      </w:r>
    </w:p>
    <w:p w:rsidR="00CA0A9A" w:rsidRPr="006D6E4A" w:rsidRDefault="00CA0A9A" w:rsidP="00BC283C">
      <w:pPr>
        <w:overflowPunct/>
        <w:adjustRightInd/>
        <w:textAlignment w:val="auto"/>
      </w:pPr>
    </w:p>
    <w:p w:rsidR="00313E42" w:rsidRPr="006D6E4A" w:rsidRDefault="00313E42" w:rsidP="00BC283C">
      <w:pPr>
        <w:overflowPunct/>
        <w:adjustRightInd/>
        <w:textAlignment w:val="auto"/>
      </w:pPr>
      <w:r w:rsidRPr="006D6E4A">
        <w:t>These efforts</w:t>
      </w:r>
      <w:r w:rsidR="008A7030" w:rsidRPr="006D6E4A">
        <w:t>, building on the existing Memorandum of Understanding between the CoR and the US Conference of Mayors,</w:t>
      </w:r>
      <w:r w:rsidRPr="006D6E4A">
        <w:t xml:space="preserve"> could result in </w:t>
      </w:r>
      <w:r w:rsidR="008A7030" w:rsidRPr="006D6E4A">
        <w:t>more intense</w:t>
      </w:r>
      <w:r w:rsidR="00471B86" w:rsidRPr="006D6E4A">
        <w:t xml:space="preserve"> political cooperation between the</w:t>
      </w:r>
      <w:r w:rsidR="008A7030" w:rsidRPr="006D6E4A">
        <w:t>se two institutions and with</w:t>
      </w:r>
      <w:r w:rsidR="00471B86" w:rsidRPr="006D6E4A">
        <w:t xml:space="preserve"> the Federation of Canadian Municipalities</w:t>
      </w:r>
      <w:r w:rsidR="008A7030" w:rsidRPr="006D6E4A">
        <w:t>. For instance, such cooperation could take the form of</w:t>
      </w:r>
      <w:r w:rsidR="00471B86" w:rsidRPr="006D6E4A">
        <w:t xml:space="preserve"> joint event</w:t>
      </w:r>
      <w:r w:rsidR="008A7030" w:rsidRPr="006D6E4A">
        <w:t>s</w:t>
      </w:r>
      <w:r w:rsidR="00471B86" w:rsidRPr="006D6E4A">
        <w:t xml:space="preserve"> at each </w:t>
      </w:r>
      <w:r w:rsidR="008A7030" w:rsidRPr="006D6E4A">
        <w:t xml:space="preserve">UNFCCC </w:t>
      </w:r>
      <w:r w:rsidR="00471B86" w:rsidRPr="006D6E4A">
        <w:t>COP, preparing joint digital publication</w:t>
      </w:r>
      <w:r w:rsidR="008A7030" w:rsidRPr="006D6E4A">
        <w:t>s</w:t>
      </w:r>
      <w:r w:rsidR="00471B86" w:rsidRPr="006D6E4A">
        <w:t xml:space="preserve"> o</w:t>
      </w:r>
      <w:r w:rsidR="008A7030" w:rsidRPr="006D6E4A">
        <w:t>n</w:t>
      </w:r>
      <w:r w:rsidR="00471B86" w:rsidRPr="006D6E4A">
        <w:t xml:space="preserve"> Best Practices, </w:t>
      </w:r>
      <w:r w:rsidR="008A7030" w:rsidRPr="006D6E4A">
        <w:t xml:space="preserve">or </w:t>
      </w:r>
      <w:r w:rsidR="00471B86" w:rsidRPr="006D6E4A">
        <w:t xml:space="preserve">creating a digital platform </w:t>
      </w:r>
      <w:r w:rsidR="00D67DF2" w:rsidRPr="006D6E4A">
        <w:t>for</w:t>
      </w:r>
      <w:r w:rsidR="00471B86" w:rsidRPr="006D6E4A">
        <w:t xml:space="preserve"> more regular </w:t>
      </w:r>
      <w:r w:rsidR="00D67DF2" w:rsidRPr="006D6E4A">
        <w:t xml:space="preserve">discussions </w:t>
      </w:r>
      <w:r w:rsidR="008A7030" w:rsidRPr="006D6E4A">
        <w:t>on</w:t>
      </w:r>
      <w:r w:rsidR="00471B86" w:rsidRPr="006D6E4A">
        <w:t xml:space="preserve"> achievements </w:t>
      </w:r>
      <w:r w:rsidR="008A7030" w:rsidRPr="006D6E4A">
        <w:t>in climate policy</w:t>
      </w:r>
      <w:r w:rsidR="00471B86" w:rsidRPr="006D6E4A">
        <w:t>.</w:t>
      </w:r>
    </w:p>
    <w:p w:rsidR="00BD7F91" w:rsidRPr="006D6E4A" w:rsidRDefault="00BD7F91" w:rsidP="005E03C9">
      <w:pPr>
        <w:keepNext/>
        <w:keepLines/>
        <w:overflowPunct/>
        <w:adjustRightInd/>
        <w:ind w:left="567"/>
        <w:textAlignment w:val="auto"/>
        <w:outlineLvl w:val="1"/>
      </w:pPr>
    </w:p>
    <w:p w:rsidR="00565AF6" w:rsidRPr="006D6E4A" w:rsidRDefault="006E7F22" w:rsidP="00840188">
      <w:pPr>
        <w:keepNext/>
        <w:keepLines/>
        <w:numPr>
          <w:ilvl w:val="0"/>
          <w:numId w:val="5"/>
        </w:numPr>
        <w:overflowPunct/>
        <w:adjustRightInd/>
        <w:textAlignment w:val="auto"/>
        <w:rPr>
          <w:b/>
          <w:i/>
        </w:rPr>
      </w:pPr>
      <w:r w:rsidRPr="006D6E4A">
        <w:rPr>
          <w:b/>
        </w:rPr>
        <w:t>Energy Union</w:t>
      </w:r>
    </w:p>
    <w:p w:rsidR="00840188" w:rsidRPr="006D6E4A" w:rsidRDefault="00840188" w:rsidP="00840188">
      <w:pPr>
        <w:keepNext/>
        <w:keepLines/>
        <w:overflowPunct/>
        <w:adjustRightInd/>
        <w:textAlignment w:val="auto"/>
      </w:pPr>
    </w:p>
    <w:p w:rsidR="00F06A50" w:rsidRPr="006D6E4A" w:rsidRDefault="00A27CA0" w:rsidP="00BC283C">
      <w:pPr>
        <w:overflowPunct/>
        <w:adjustRightInd/>
        <w:textAlignment w:val="auto"/>
      </w:pPr>
      <w:r w:rsidRPr="006D6E4A">
        <w:t>In July 2017, t</w:t>
      </w:r>
      <w:r w:rsidR="00BE25F1" w:rsidRPr="006D6E4A">
        <w:t xml:space="preserve">he CoR adopted its three </w:t>
      </w:r>
      <w:r w:rsidR="00200040" w:rsidRPr="006D6E4A">
        <w:t>o</w:t>
      </w:r>
      <w:r w:rsidR="00BE25F1" w:rsidRPr="006D6E4A">
        <w:t>pinions on the key aspects of the Energy Union</w:t>
      </w:r>
      <w:r w:rsidR="006661FC" w:rsidRPr="006D6E4A">
        <w:t>'s</w:t>
      </w:r>
      <w:r w:rsidR="00BE25F1" w:rsidRPr="006D6E4A">
        <w:t xml:space="preserve"> '</w:t>
      </w:r>
      <w:r w:rsidR="000435B4" w:rsidRPr="006D6E4A">
        <w:t>winter</w:t>
      </w:r>
      <w:r w:rsidR="00BE25F1" w:rsidRPr="006D6E4A">
        <w:t xml:space="preserve"> package' of 30 November 2016: the Energy Union governance and clean energy; energy efficiency and energy performance of buildings; and renewable energy and the electricity market.</w:t>
      </w:r>
      <w:r w:rsidR="00AE50CE" w:rsidRPr="006D6E4A">
        <w:t xml:space="preserve"> </w:t>
      </w:r>
      <w:r w:rsidR="00BE25F1" w:rsidRPr="006D6E4A">
        <w:t xml:space="preserve">The follow-up </w:t>
      </w:r>
      <w:r w:rsidR="0062765A" w:rsidRPr="006D6E4A">
        <w:t xml:space="preserve">to </w:t>
      </w:r>
      <w:r w:rsidR="00BE25F1" w:rsidRPr="006D6E4A">
        <w:t xml:space="preserve">the </w:t>
      </w:r>
      <w:proofErr w:type="spellStart"/>
      <w:r w:rsidR="00BE25F1" w:rsidRPr="006D6E4A">
        <w:t>CoR's</w:t>
      </w:r>
      <w:proofErr w:type="spellEnd"/>
      <w:r w:rsidR="00BE25F1" w:rsidRPr="006D6E4A">
        <w:t xml:space="preserve"> political recommendations contained in those </w:t>
      </w:r>
      <w:r w:rsidR="00A42F2A" w:rsidRPr="006D6E4A">
        <w:t>o</w:t>
      </w:r>
      <w:r w:rsidR="00BE25F1" w:rsidRPr="006D6E4A">
        <w:t xml:space="preserve">pinions will continue to </w:t>
      </w:r>
      <w:r w:rsidR="006F63D1" w:rsidRPr="006D6E4A">
        <w:t xml:space="preserve">guide </w:t>
      </w:r>
      <w:r w:rsidR="00BE25F1" w:rsidRPr="006D6E4A">
        <w:t xml:space="preserve">the political work of the ENVE Commission in the area of the EU Energy Union policy. </w:t>
      </w:r>
    </w:p>
    <w:p w:rsidR="00F06A50" w:rsidRPr="006D6E4A" w:rsidRDefault="00F06A50" w:rsidP="00BC283C">
      <w:pPr>
        <w:overflowPunct/>
        <w:adjustRightInd/>
        <w:textAlignment w:val="auto"/>
      </w:pPr>
    </w:p>
    <w:p w:rsidR="006873F3" w:rsidRPr="006D6E4A" w:rsidRDefault="00BE25F1" w:rsidP="00BC283C">
      <w:pPr>
        <w:overflowPunct/>
        <w:adjustRightInd/>
        <w:textAlignment w:val="auto"/>
      </w:pPr>
      <w:r w:rsidRPr="006D6E4A">
        <w:t xml:space="preserve">In cooperation with the other EU institutions, notably, the European </w:t>
      </w:r>
      <w:r w:rsidR="005F500F" w:rsidRPr="006D6E4A">
        <w:t>P</w:t>
      </w:r>
      <w:r w:rsidRPr="006D6E4A">
        <w:t xml:space="preserve">arliament, and key stakeholders such as </w:t>
      </w:r>
      <w:proofErr w:type="spellStart"/>
      <w:r w:rsidRPr="006D6E4A">
        <w:t>Fedarene</w:t>
      </w:r>
      <w:proofErr w:type="spellEnd"/>
      <w:r w:rsidR="00145BBF" w:rsidRPr="006D6E4A">
        <w:t xml:space="preserve"> </w:t>
      </w:r>
      <w:r w:rsidR="00653B6B" w:rsidRPr="006D6E4A">
        <w:t>(</w:t>
      </w:r>
      <w:r w:rsidRPr="006D6E4A">
        <w:t>the European association of regional energy agencies</w:t>
      </w:r>
      <w:r w:rsidR="00653B6B" w:rsidRPr="006D6E4A">
        <w:t>)</w:t>
      </w:r>
      <w:r w:rsidRPr="006D6E4A">
        <w:t xml:space="preserve">, </w:t>
      </w:r>
      <w:r w:rsidR="00AE50CE" w:rsidRPr="006D6E4A">
        <w:t xml:space="preserve">the ENVE Commission will seek to increase the involvement of the COR, acting on behalf of the local and regional authorities across the EU, </w:t>
      </w:r>
      <w:r w:rsidR="00B909AC" w:rsidRPr="006D6E4A">
        <w:t xml:space="preserve">at </w:t>
      </w:r>
      <w:r w:rsidR="00AE50CE" w:rsidRPr="006D6E4A">
        <w:t xml:space="preserve">the </w:t>
      </w:r>
      <w:r w:rsidR="00653B6B" w:rsidRPr="006D6E4A">
        <w:t xml:space="preserve">appropriate </w:t>
      </w:r>
      <w:r w:rsidR="00AE50CE" w:rsidRPr="006D6E4A">
        <w:t>stages of EU policy</w:t>
      </w:r>
      <w:r w:rsidR="003A06CE" w:rsidRPr="006D6E4A">
        <w:t>-</w:t>
      </w:r>
      <w:r w:rsidR="00AE50CE" w:rsidRPr="006D6E4A">
        <w:t>making</w:t>
      </w:r>
      <w:r w:rsidR="00653B6B" w:rsidRPr="006D6E4A">
        <w:t>, and i</w:t>
      </w:r>
      <w:r w:rsidR="00AE50CE" w:rsidRPr="006D6E4A">
        <w:t xml:space="preserve">n particular, in the preparation of the EU's climate and energy policy guidelines </w:t>
      </w:r>
      <w:r w:rsidR="00496594" w:rsidRPr="006D6E4A">
        <w:t xml:space="preserve">up to </w:t>
      </w:r>
      <w:r w:rsidR="00AE50CE" w:rsidRPr="006D6E4A">
        <w:t xml:space="preserve">2030. </w:t>
      </w:r>
      <w:r w:rsidR="00653B6B" w:rsidRPr="006D6E4A">
        <w:t xml:space="preserve">As follow-up to </w:t>
      </w:r>
      <w:r w:rsidR="00AE50CE" w:rsidRPr="006D6E4A">
        <w:t xml:space="preserve">the CoR </w:t>
      </w:r>
      <w:r w:rsidR="00521CAD" w:rsidRPr="006D6E4A">
        <w:t>o</w:t>
      </w:r>
      <w:r w:rsidR="00AE50CE" w:rsidRPr="006D6E4A">
        <w:t xml:space="preserve">pinion on the Energy Union governance, the ENVE Commission will </w:t>
      </w:r>
      <w:r w:rsidR="00653B6B" w:rsidRPr="006D6E4A">
        <w:t xml:space="preserve">seek to influence </w:t>
      </w:r>
      <w:r w:rsidR="00AE50CE" w:rsidRPr="006D6E4A">
        <w:t xml:space="preserve">the EC </w:t>
      </w:r>
      <w:proofErr w:type="gramStart"/>
      <w:r w:rsidR="00653B6B" w:rsidRPr="006D6E4A">
        <w:t xml:space="preserve">to </w:t>
      </w:r>
      <w:r w:rsidR="00AE50CE" w:rsidRPr="006D6E4A">
        <w:t xml:space="preserve"> recommend</w:t>
      </w:r>
      <w:proofErr w:type="gramEnd"/>
      <w:r w:rsidR="00AE50CE" w:rsidRPr="006D6E4A">
        <w:t xml:space="preserve"> to the </w:t>
      </w:r>
      <w:r w:rsidR="00604DA8" w:rsidRPr="006D6E4A">
        <w:t xml:space="preserve">Member States </w:t>
      </w:r>
      <w:r w:rsidR="00AE50CE" w:rsidRPr="006D6E4A">
        <w:t xml:space="preserve">appropriate inclusion of the local and regional components in their national planning, monitoring and reporting of progress, and </w:t>
      </w:r>
      <w:r w:rsidR="00653B6B" w:rsidRPr="006D6E4A">
        <w:t xml:space="preserve">to involve </w:t>
      </w:r>
      <w:r w:rsidR="00AE50CE" w:rsidRPr="006D6E4A">
        <w:t>the CoR in the work of the Energy Union Committee</w:t>
      </w:r>
      <w:r w:rsidR="00FD2511" w:rsidRPr="006D6E4A">
        <w:t>,</w:t>
      </w:r>
      <w:r w:rsidR="00AE50CE" w:rsidRPr="006D6E4A">
        <w:t xml:space="preserve"> which will be set up under the new Governance Regulation.</w:t>
      </w:r>
    </w:p>
    <w:p w:rsidR="006873F3" w:rsidRPr="006D6E4A" w:rsidRDefault="006873F3" w:rsidP="00BC283C">
      <w:pPr>
        <w:overflowPunct/>
        <w:adjustRightInd/>
        <w:textAlignment w:val="auto"/>
      </w:pPr>
    </w:p>
    <w:p w:rsidR="00565AF6" w:rsidRPr="006D6E4A" w:rsidRDefault="00653B6B" w:rsidP="00BC283C">
      <w:pPr>
        <w:overflowPunct/>
        <w:adjustRightInd/>
        <w:textAlignment w:val="auto"/>
      </w:pPr>
      <w:r w:rsidRPr="006D6E4A">
        <w:lastRenderedPageBreak/>
        <w:t>T</w:t>
      </w:r>
      <w:r w:rsidR="00AE50CE" w:rsidRPr="006D6E4A">
        <w:t xml:space="preserve">he ENVE Commission will </w:t>
      </w:r>
      <w:r w:rsidRPr="006D6E4A">
        <w:t xml:space="preserve">also </w:t>
      </w:r>
      <w:r w:rsidR="00AE50CE" w:rsidRPr="006D6E4A">
        <w:t xml:space="preserve">continue to </w:t>
      </w:r>
      <w:r w:rsidRPr="006D6E4A">
        <w:t xml:space="preserve">contribute to cooperation between the relevant institutions aiming to improve further the </w:t>
      </w:r>
      <w:r w:rsidR="00AE50CE" w:rsidRPr="006D6E4A">
        <w:t xml:space="preserve">financial opportunities for sustainable energy investment at the local and regional level, </w:t>
      </w:r>
      <w:r w:rsidR="002D335F" w:rsidRPr="006D6E4A">
        <w:t xml:space="preserve">including </w:t>
      </w:r>
      <w:r w:rsidR="00AE50CE" w:rsidRPr="006D6E4A">
        <w:t xml:space="preserve">initiatives </w:t>
      </w:r>
      <w:r w:rsidR="002D157B" w:rsidRPr="006D6E4A">
        <w:t xml:space="preserve">such </w:t>
      </w:r>
      <w:r w:rsidR="00AE50CE" w:rsidRPr="006D6E4A">
        <w:t xml:space="preserve">as the Smart Finance for Smart Buildings. The ENVE Commission will </w:t>
      </w:r>
      <w:r w:rsidRPr="006D6E4A">
        <w:t>stress</w:t>
      </w:r>
      <w:r w:rsidR="00AE50CE" w:rsidRPr="006D6E4A">
        <w:t xml:space="preserve"> the transparency of this process, striving to ensure that the recommendations of the </w:t>
      </w:r>
      <w:proofErr w:type="spellStart"/>
      <w:r w:rsidR="000435B4" w:rsidRPr="006D6E4A">
        <w:t>CoR's</w:t>
      </w:r>
      <w:proofErr w:type="spellEnd"/>
      <w:r w:rsidR="000435B4" w:rsidRPr="006D6E4A">
        <w:t xml:space="preserve"> opinions</w:t>
      </w:r>
      <w:r w:rsidR="00AE50CE" w:rsidRPr="006D6E4A">
        <w:t xml:space="preserve"> on the Energy Union are considered and taken on board, and that all possible synergies between the various sources of funding available to the local and regional level</w:t>
      </w:r>
      <w:r w:rsidRPr="006D6E4A">
        <w:t xml:space="preserve"> are promoted</w:t>
      </w:r>
      <w:r w:rsidR="00AE50CE" w:rsidRPr="006D6E4A">
        <w:t>.</w:t>
      </w:r>
      <w:r w:rsidR="00145BBF" w:rsidRPr="006D6E4A">
        <w:t xml:space="preserve"> </w:t>
      </w:r>
    </w:p>
    <w:p w:rsidR="00565AF6" w:rsidRPr="006D6E4A" w:rsidRDefault="00565AF6" w:rsidP="00BC283C">
      <w:pPr>
        <w:overflowPunct/>
        <w:adjustRightInd/>
        <w:textAlignment w:val="auto"/>
      </w:pPr>
    </w:p>
    <w:p w:rsidR="002D157B" w:rsidRPr="006D6E4A" w:rsidRDefault="006E7F22" w:rsidP="00840188">
      <w:pPr>
        <w:keepNext/>
        <w:keepLines/>
        <w:numPr>
          <w:ilvl w:val="0"/>
          <w:numId w:val="5"/>
        </w:numPr>
        <w:overflowPunct/>
        <w:adjustRightInd/>
        <w:textAlignment w:val="auto"/>
        <w:rPr>
          <w:b/>
          <w:i/>
        </w:rPr>
      </w:pPr>
      <w:r w:rsidRPr="006D6E4A">
        <w:rPr>
          <w:b/>
        </w:rPr>
        <w:t>Space policy</w:t>
      </w:r>
    </w:p>
    <w:p w:rsidR="00840188" w:rsidRPr="006D6E4A" w:rsidRDefault="00840188" w:rsidP="00840188">
      <w:pPr>
        <w:keepNext/>
        <w:keepLines/>
        <w:overflowPunct/>
        <w:adjustRightInd/>
        <w:textAlignment w:val="auto"/>
      </w:pPr>
    </w:p>
    <w:p w:rsidR="00BD7F91" w:rsidRPr="006D6E4A" w:rsidRDefault="006E7F22" w:rsidP="00BC283C">
      <w:pPr>
        <w:overflowPunct/>
        <w:adjustRightInd/>
        <w:textAlignment w:val="auto"/>
      </w:pPr>
      <w:r w:rsidRPr="006D6E4A">
        <w:t xml:space="preserve">The ENVE Commission will </w:t>
      </w:r>
      <w:r w:rsidR="00653B6B" w:rsidRPr="006D6E4A">
        <w:t xml:space="preserve">continue its involvement in the </w:t>
      </w:r>
      <w:r w:rsidRPr="006D6E4A">
        <w:t>follow</w:t>
      </w:r>
      <w:r w:rsidR="0083758A" w:rsidRPr="006D6E4A">
        <w:t xml:space="preserve"> </w:t>
      </w:r>
      <w:r w:rsidRPr="006D6E4A">
        <w:t xml:space="preserve">up </w:t>
      </w:r>
      <w:r w:rsidR="00653B6B" w:rsidRPr="006D6E4A">
        <w:t xml:space="preserve">to </w:t>
      </w:r>
      <w:r w:rsidRPr="006D6E4A">
        <w:t xml:space="preserve">the 'EU Strategy for Space' and cooperate with the other EU institutions and key stakeholders, such as the NEREUS network, </w:t>
      </w:r>
      <w:r w:rsidR="00653B6B" w:rsidRPr="006D6E4A">
        <w:t xml:space="preserve">with a view to promoting </w:t>
      </w:r>
      <w:r w:rsidRPr="006D6E4A">
        <w:t xml:space="preserve">the key </w:t>
      </w:r>
      <w:r w:rsidR="00653B6B" w:rsidRPr="006D6E4A">
        <w:t xml:space="preserve">role of </w:t>
      </w:r>
      <w:r w:rsidRPr="006D6E4A">
        <w:t xml:space="preserve">local and regional </w:t>
      </w:r>
      <w:r w:rsidR="00F07389" w:rsidRPr="006D6E4A">
        <w:t xml:space="preserve">authorities </w:t>
      </w:r>
      <w:r w:rsidRPr="006D6E4A">
        <w:t xml:space="preserve">in space policy, notably, </w:t>
      </w:r>
      <w:r w:rsidR="00F07389" w:rsidRPr="006D6E4A">
        <w:t xml:space="preserve">regarding </w:t>
      </w:r>
      <w:r w:rsidRPr="006D6E4A">
        <w:t>the uptake of services and applications developed on the basis of the EU Copernicus programme, which can serve a variety of societal needs both in the public and private sector and stimulate the development of innovative small and medium</w:t>
      </w:r>
      <w:r w:rsidR="00D810BA" w:rsidRPr="006D6E4A">
        <w:t>-</w:t>
      </w:r>
      <w:r w:rsidRPr="006D6E4A">
        <w:t xml:space="preserve">size enterprises. The CoR will seek access to the Copernicus User Forum in order to highlight the potential of a stronger local and regional dimension </w:t>
      </w:r>
      <w:r w:rsidR="00954DC6" w:rsidRPr="006D6E4A">
        <w:t xml:space="preserve">in </w:t>
      </w:r>
      <w:r w:rsidRPr="006D6E4A">
        <w:t>EU space policy.</w:t>
      </w:r>
    </w:p>
    <w:p w:rsidR="005E1778" w:rsidRPr="006D6E4A" w:rsidRDefault="005E1778" w:rsidP="00BC283C">
      <w:pPr>
        <w:overflowPunct/>
        <w:adjustRightInd/>
        <w:textAlignment w:val="auto"/>
      </w:pPr>
    </w:p>
    <w:p w:rsidR="005E1778" w:rsidRPr="006D6E4A" w:rsidRDefault="00BC283C" w:rsidP="00840188">
      <w:pPr>
        <w:pStyle w:val="ListParagraph"/>
        <w:keepNext/>
        <w:keepLines/>
        <w:numPr>
          <w:ilvl w:val="0"/>
          <w:numId w:val="28"/>
        </w:numPr>
        <w:overflowPunct/>
        <w:adjustRightInd/>
        <w:textAlignment w:val="auto"/>
        <w:rPr>
          <w:b/>
        </w:rPr>
      </w:pPr>
      <w:r w:rsidRPr="006D6E4A">
        <w:rPr>
          <w:b/>
        </w:rPr>
        <w:t>Environmental policy</w:t>
      </w:r>
    </w:p>
    <w:p w:rsidR="00840188" w:rsidRPr="006D6E4A" w:rsidRDefault="00840188" w:rsidP="00840188">
      <w:pPr>
        <w:keepNext/>
        <w:keepLines/>
        <w:overflowPunct/>
        <w:adjustRightInd/>
        <w:textAlignment w:val="auto"/>
      </w:pPr>
    </w:p>
    <w:p w:rsidR="005E1778" w:rsidRPr="006D6E4A" w:rsidRDefault="005E1778" w:rsidP="00BC283C">
      <w:pPr>
        <w:overflowPunct/>
        <w:adjustRightInd/>
        <w:textAlignment w:val="auto"/>
      </w:pPr>
      <w:r w:rsidRPr="006D6E4A">
        <w:t xml:space="preserve">The ENVE Commission will closely follow the implementation and the potential evaluation work of the 7th Environment Action Plan, </w:t>
      </w:r>
      <w:r w:rsidR="00B00FCC" w:rsidRPr="006D6E4A">
        <w:t xml:space="preserve">with a </w:t>
      </w:r>
      <w:r w:rsidRPr="006D6E4A">
        <w:t xml:space="preserve">view </w:t>
      </w:r>
      <w:r w:rsidR="00B00FCC" w:rsidRPr="006D6E4A">
        <w:t xml:space="preserve">to </w:t>
      </w:r>
      <w:r w:rsidRPr="006D6E4A">
        <w:t xml:space="preserve">contributing to the debate </w:t>
      </w:r>
      <w:r w:rsidR="00AC04AA" w:rsidRPr="006D6E4A">
        <w:t xml:space="preserve">on </w:t>
      </w:r>
      <w:r w:rsidRPr="006D6E4A">
        <w:t xml:space="preserve">the 8th Environment Action Programme. </w:t>
      </w:r>
    </w:p>
    <w:p w:rsidR="00CA0A9A" w:rsidRPr="006D6E4A" w:rsidRDefault="00CA0A9A" w:rsidP="00BC283C">
      <w:pPr>
        <w:overflowPunct/>
        <w:adjustRightInd/>
        <w:textAlignment w:val="auto"/>
      </w:pPr>
    </w:p>
    <w:p w:rsidR="005E1778" w:rsidRPr="006D6E4A" w:rsidRDefault="005E1778" w:rsidP="00BC283C">
      <w:pPr>
        <w:overflowPunct/>
        <w:adjustRightInd/>
        <w:textAlignment w:val="auto"/>
      </w:pPr>
      <w:r w:rsidRPr="006D6E4A">
        <w:t>The ENVE Commission will continue its cooperation with the European Commission in the framework of the Technical Platform for Cooperation on the Environment.</w:t>
      </w:r>
    </w:p>
    <w:p w:rsidR="00CA0A9A" w:rsidRPr="006D6E4A" w:rsidRDefault="00CA0A9A" w:rsidP="00BC283C">
      <w:pPr>
        <w:overflowPunct/>
        <w:adjustRightInd/>
        <w:textAlignment w:val="auto"/>
      </w:pPr>
    </w:p>
    <w:p w:rsidR="005E1778" w:rsidRPr="006D6E4A" w:rsidRDefault="005E1778" w:rsidP="00840188">
      <w:pPr>
        <w:overflowPunct/>
        <w:adjustRightInd/>
        <w:textAlignment w:val="auto"/>
      </w:pPr>
      <w:r w:rsidRPr="006D6E4A">
        <w:t xml:space="preserve">Following the adoption in April 2017 of the Action Plan for Nature, People and the Economy, presented at a launch event at the CoR, </w:t>
      </w:r>
      <w:r w:rsidR="00CA0A9A" w:rsidRPr="006D6E4A">
        <w:t xml:space="preserve">the </w:t>
      </w:r>
      <w:r w:rsidRPr="006D6E4A">
        <w:t xml:space="preserve">ENVE </w:t>
      </w:r>
      <w:r w:rsidR="00CA0A9A" w:rsidRPr="006D6E4A">
        <w:t xml:space="preserve">Commission </w:t>
      </w:r>
      <w:r w:rsidRPr="006D6E4A">
        <w:t xml:space="preserve">will continue its cooperation </w:t>
      </w:r>
      <w:r w:rsidR="0071742B" w:rsidRPr="006D6E4A">
        <w:t>o</w:t>
      </w:r>
      <w:r w:rsidRPr="006D6E4A">
        <w:t>n the implementation of the Action Plan</w:t>
      </w:r>
      <w:r w:rsidR="0071742B" w:rsidRPr="006D6E4A">
        <w:t>,</w:t>
      </w:r>
      <w:r w:rsidRPr="006D6E4A">
        <w:t xml:space="preserve"> especially for the 4 actions for which the CoR is </w:t>
      </w:r>
      <w:r w:rsidR="00244344" w:rsidRPr="006D6E4A">
        <w:t xml:space="preserve">jointly </w:t>
      </w:r>
      <w:r w:rsidRPr="006D6E4A">
        <w:t>responsible.</w:t>
      </w:r>
    </w:p>
    <w:p w:rsidR="00CA0A9A" w:rsidRPr="006D6E4A" w:rsidRDefault="00CA0A9A" w:rsidP="00840188">
      <w:pPr>
        <w:overflowPunct/>
        <w:adjustRightInd/>
        <w:textAlignment w:val="auto"/>
      </w:pPr>
    </w:p>
    <w:p w:rsidR="00CA2ABF" w:rsidRPr="006D6E4A" w:rsidRDefault="00CA2ABF" w:rsidP="00840188">
      <w:pPr>
        <w:overflowPunct/>
        <w:textAlignment w:val="auto"/>
        <w:rPr>
          <w:color w:val="000000"/>
        </w:rPr>
      </w:pPr>
      <w:r w:rsidRPr="006D6E4A">
        <w:rPr>
          <w:color w:val="000000"/>
        </w:rPr>
        <w:t xml:space="preserve">A </w:t>
      </w:r>
      <w:r w:rsidRPr="006D6E4A">
        <w:t xml:space="preserve">legislative initiative under </w:t>
      </w:r>
      <w:r w:rsidR="006F1DE7" w:rsidRPr="006D6E4A">
        <w:t xml:space="preserve">REFIT </w:t>
      </w:r>
      <w:r w:rsidR="004C43BA" w:rsidRPr="006D6E4A">
        <w:t xml:space="preserve">- </w:t>
      </w:r>
      <w:r w:rsidRPr="006D6E4A">
        <w:rPr>
          <w:i/>
        </w:rPr>
        <w:t>Follow</w:t>
      </w:r>
      <w:r w:rsidR="004C43BA" w:rsidRPr="006D6E4A">
        <w:rPr>
          <w:i/>
        </w:rPr>
        <w:t>-</w:t>
      </w:r>
      <w:r w:rsidRPr="006D6E4A">
        <w:rPr>
          <w:i/>
        </w:rPr>
        <w:t>up to Environmental Monitoring &amp; Reporting Fitness Check</w:t>
      </w:r>
      <w:r w:rsidRPr="006D6E4A">
        <w:t xml:space="preserve"> </w:t>
      </w:r>
      <w:r w:rsidR="004C43BA" w:rsidRPr="006D6E4A">
        <w:t xml:space="preserve">- </w:t>
      </w:r>
      <w:r w:rsidRPr="006D6E4A">
        <w:rPr>
          <w:color w:val="000000"/>
        </w:rPr>
        <w:t xml:space="preserve">is </w:t>
      </w:r>
      <w:r w:rsidR="004C43BA" w:rsidRPr="006D6E4A">
        <w:rPr>
          <w:color w:val="000000"/>
        </w:rPr>
        <w:t xml:space="preserve">contained </w:t>
      </w:r>
      <w:r w:rsidRPr="006D6E4A">
        <w:rPr>
          <w:color w:val="000000"/>
        </w:rPr>
        <w:t xml:space="preserve">in the Commission Work Programme for </w:t>
      </w:r>
      <w:r w:rsidRPr="006D6E4A">
        <w:t>2018 (see Appendix II for details).</w:t>
      </w:r>
      <w:r w:rsidRPr="006D6E4A">
        <w:rPr>
          <w:color w:val="000000"/>
        </w:rPr>
        <w:t xml:space="preserve"> </w:t>
      </w:r>
    </w:p>
    <w:p w:rsidR="00CA0A9A" w:rsidRPr="006D6E4A" w:rsidRDefault="00CA0A9A" w:rsidP="00840188">
      <w:pPr>
        <w:overflowPunct/>
        <w:textAlignment w:val="auto"/>
        <w:rPr>
          <w:color w:val="000000"/>
        </w:rPr>
      </w:pPr>
    </w:p>
    <w:p w:rsidR="005E1778" w:rsidRPr="006D6E4A" w:rsidRDefault="00473B72" w:rsidP="00840188">
      <w:pPr>
        <w:overflowPunct/>
        <w:adjustRightInd/>
        <w:textAlignment w:val="auto"/>
      </w:pPr>
      <w:r w:rsidRPr="006D6E4A">
        <w:t xml:space="preserve">In view </w:t>
      </w:r>
      <w:r w:rsidR="005E1778" w:rsidRPr="006D6E4A">
        <w:t xml:space="preserve">of the COP14 of the Convention for </w:t>
      </w:r>
      <w:r w:rsidRPr="006D6E4A">
        <w:t>B</w:t>
      </w:r>
      <w:r w:rsidR="005E1778" w:rsidRPr="006D6E4A">
        <w:t>iological Diversity in Egypt in November 2018</w:t>
      </w:r>
      <w:r w:rsidRPr="006D6E4A">
        <w:t>, the</w:t>
      </w:r>
      <w:r w:rsidR="005E1778" w:rsidRPr="006D6E4A">
        <w:t xml:space="preserve"> </w:t>
      </w:r>
      <w:r w:rsidRPr="006D6E4A">
        <w:t xml:space="preserve">ENVE commission will identify key messages of high relevance to local and regional authorities </w:t>
      </w:r>
      <w:r w:rsidR="005E1778" w:rsidRPr="006D6E4A">
        <w:t>and will prepare for possible participation.</w:t>
      </w:r>
      <w:r w:rsidR="00B54B31" w:rsidRPr="006D6E4A">
        <w:t xml:space="preserve"> </w:t>
      </w:r>
      <w:r w:rsidR="008C6717" w:rsidRPr="006D6E4A">
        <w:t xml:space="preserve">This activity will take into account </w:t>
      </w:r>
      <w:r w:rsidR="004C7CD0" w:rsidRPr="006D6E4A">
        <w:t xml:space="preserve">of </w:t>
      </w:r>
      <w:r w:rsidR="008C6717" w:rsidRPr="006D6E4A">
        <w:t xml:space="preserve">the MoU with </w:t>
      </w:r>
      <w:r w:rsidR="00035E49" w:rsidRPr="006D6E4A">
        <w:t xml:space="preserve">the </w:t>
      </w:r>
      <w:r w:rsidR="008C6717" w:rsidRPr="006D6E4A">
        <w:t>UNEP signed by the CoR and the work in the Mediterranean through the ARLEM network.</w:t>
      </w:r>
    </w:p>
    <w:p w:rsidR="00CA0A9A" w:rsidRPr="006D6E4A" w:rsidRDefault="00CA0A9A" w:rsidP="00BC283C">
      <w:pPr>
        <w:overflowPunct/>
        <w:adjustRightInd/>
        <w:textAlignment w:val="auto"/>
      </w:pPr>
    </w:p>
    <w:p w:rsidR="00CA0A9A" w:rsidRPr="006D6E4A" w:rsidRDefault="00111B59" w:rsidP="00BC283C">
      <w:pPr>
        <w:overflowPunct/>
        <w:adjustRightInd/>
        <w:textAlignment w:val="auto"/>
      </w:pPr>
      <w:r w:rsidRPr="006D6E4A">
        <w:t>For the first quarter of 2018, t</w:t>
      </w:r>
      <w:r w:rsidR="005E1778" w:rsidRPr="006D6E4A">
        <w:t xml:space="preserve">he European Commission has planned a communication on Pharmaceuticals in the Environment. The ENVE Commission will assess the </w:t>
      </w:r>
      <w:r w:rsidR="00912917" w:rsidRPr="006D6E4A">
        <w:t xml:space="preserve">need </w:t>
      </w:r>
      <w:r w:rsidR="005E1778" w:rsidRPr="006D6E4A">
        <w:t xml:space="preserve">to follow up this communication and connected activities. </w:t>
      </w:r>
    </w:p>
    <w:p w:rsidR="003A0160" w:rsidRPr="006D6E4A" w:rsidRDefault="003A0160" w:rsidP="00BC283C">
      <w:pPr>
        <w:overflowPunct/>
        <w:adjustRightInd/>
        <w:textAlignment w:val="auto"/>
      </w:pPr>
    </w:p>
    <w:p w:rsidR="003A0160" w:rsidRPr="006D6E4A" w:rsidRDefault="003A0160" w:rsidP="00BC283C">
      <w:pPr>
        <w:overflowPunct/>
        <w:adjustRightInd/>
        <w:textAlignment w:val="auto"/>
      </w:pPr>
    </w:p>
    <w:p w:rsidR="005E1778" w:rsidRPr="006D6E4A" w:rsidRDefault="005E1778" w:rsidP="00BC283C">
      <w:pPr>
        <w:overflowPunct/>
        <w:adjustRightInd/>
        <w:textAlignment w:val="auto"/>
      </w:pPr>
      <w:r w:rsidRPr="006D6E4A">
        <w:lastRenderedPageBreak/>
        <w:t xml:space="preserve">A Communication of the European Commission on an Action Plan on Environmental Compliance Assurance is </w:t>
      </w:r>
      <w:r w:rsidR="007A6F18" w:rsidRPr="006D6E4A">
        <w:t>planned for</w:t>
      </w:r>
      <w:r w:rsidRPr="006D6E4A">
        <w:t xml:space="preserve"> the end of 2017. The ENVE Commission will assess the </w:t>
      </w:r>
      <w:r w:rsidR="00EB7993" w:rsidRPr="006D6E4A">
        <w:t xml:space="preserve">need </w:t>
      </w:r>
      <w:r w:rsidRPr="006D6E4A">
        <w:t>to follow up this communication and connected activities.</w:t>
      </w:r>
    </w:p>
    <w:p w:rsidR="00CA0A9A" w:rsidRPr="006D6E4A" w:rsidRDefault="00CA0A9A" w:rsidP="00BC283C">
      <w:pPr>
        <w:overflowPunct/>
        <w:adjustRightInd/>
        <w:textAlignment w:val="auto"/>
      </w:pPr>
    </w:p>
    <w:p w:rsidR="00473B72" w:rsidRPr="006D6E4A" w:rsidRDefault="005E1778" w:rsidP="00473B72">
      <w:r w:rsidRPr="006D6E4A">
        <w:t>The ENVE Commission will monitor further REFITs in 2018 to assess possible cooperation</w:t>
      </w:r>
      <w:r w:rsidR="00CA0A9A" w:rsidRPr="006D6E4A">
        <w:t xml:space="preserve"> with the European Commission</w:t>
      </w:r>
      <w:r w:rsidR="00473B72" w:rsidRPr="005E03C9">
        <w:t xml:space="preserve"> where they are highly relevant to local and regional authorities</w:t>
      </w:r>
      <w:r w:rsidR="00473B72" w:rsidRPr="006D6E4A">
        <w:t xml:space="preserve">. </w:t>
      </w:r>
    </w:p>
    <w:p w:rsidR="005E1778" w:rsidRPr="006D6E4A" w:rsidRDefault="005E1778" w:rsidP="00BC283C">
      <w:pPr>
        <w:overflowPunct/>
        <w:adjustRightInd/>
        <w:ind w:left="720"/>
        <w:textAlignment w:val="auto"/>
      </w:pPr>
    </w:p>
    <w:p w:rsidR="00CA0A9A" w:rsidRPr="006D6E4A" w:rsidRDefault="00BC283C" w:rsidP="00840188">
      <w:pPr>
        <w:pStyle w:val="ListParagraph"/>
        <w:keepNext/>
        <w:keepLines/>
        <w:numPr>
          <w:ilvl w:val="0"/>
          <w:numId w:val="29"/>
        </w:numPr>
        <w:overflowPunct/>
        <w:adjustRightInd/>
        <w:textAlignment w:val="auto"/>
        <w:rPr>
          <w:b/>
        </w:rPr>
      </w:pPr>
      <w:r w:rsidRPr="006D6E4A">
        <w:rPr>
          <w:b/>
        </w:rPr>
        <w:t>Covenant of Mayors</w:t>
      </w:r>
    </w:p>
    <w:p w:rsidR="00313E42" w:rsidRPr="006D6E4A" w:rsidRDefault="00381D16" w:rsidP="005E03C9">
      <w:pPr>
        <w:keepNext/>
        <w:keepLines/>
        <w:overflowPunct/>
        <w:adjustRightInd/>
        <w:textAlignment w:val="auto"/>
      </w:pPr>
      <w:r w:rsidRPr="006D6E4A">
        <w:t xml:space="preserve">The framework of the Global Covenant of Mayors serves as a platform to demonstrate the local governments' contribution to the Paris Agreement and to discuss and develop with the </w:t>
      </w:r>
      <w:proofErr w:type="spellStart"/>
      <w:r w:rsidRPr="006D6E4A">
        <w:t>CoR's</w:t>
      </w:r>
      <w:proofErr w:type="spellEnd"/>
      <w:r w:rsidRPr="006D6E4A">
        <w:t xml:space="preserve"> international partners the idea of 'Locally Determined Contributions' in addition to the nationally determined contributions (NDCs).</w:t>
      </w:r>
      <w:r w:rsidR="003A0160" w:rsidRPr="006D6E4A">
        <w:t xml:space="preserve"> </w:t>
      </w:r>
      <w:r w:rsidR="00C2048A" w:rsidRPr="006D6E4A">
        <w:t>T</w:t>
      </w:r>
      <w:r w:rsidR="00F06A50" w:rsidRPr="006D6E4A">
        <w:t xml:space="preserve">he network is expected to provide opportunities </w:t>
      </w:r>
      <w:r w:rsidR="000435B4" w:rsidRPr="006D6E4A">
        <w:t>for showcasing</w:t>
      </w:r>
      <w:r w:rsidR="00471B86" w:rsidRPr="006D6E4A">
        <w:t xml:space="preserve"> the collective impact of sub-national climate and energy action globally, ideally in </w:t>
      </w:r>
      <w:r w:rsidR="00F06A50" w:rsidRPr="006D6E4A">
        <w:t xml:space="preserve">the format of </w:t>
      </w:r>
      <w:r w:rsidR="00471B86" w:rsidRPr="006D6E4A">
        <w:t xml:space="preserve">a UNFCCC-endorsed platform, such as </w:t>
      </w:r>
      <w:r w:rsidR="00D87345" w:rsidRPr="006D6E4A">
        <w:t xml:space="preserve">the </w:t>
      </w:r>
      <w:r w:rsidR="00F06A50" w:rsidRPr="006D6E4A">
        <w:t>Non-State Actor Zone for Climate Action (</w:t>
      </w:r>
      <w:r w:rsidR="00471B86" w:rsidRPr="006D6E4A">
        <w:t>NAZCA</w:t>
      </w:r>
      <w:r w:rsidR="00F06A50" w:rsidRPr="006D6E4A">
        <w:t xml:space="preserve">) which </w:t>
      </w:r>
      <w:r w:rsidR="00D87345" w:rsidRPr="006D6E4A">
        <w:t>was</w:t>
      </w:r>
      <w:r w:rsidR="00F06A50" w:rsidRPr="006D6E4A">
        <w:t xml:space="preserve"> launched </w:t>
      </w:r>
      <w:r w:rsidR="00F04535" w:rsidRPr="006D6E4A">
        <w:t xml:space="preserve">at </w:t>
      </w:r>
      <w:r w:rsidR="00F06A50" w:rsidRPr="006D6E4A">
        <w:t>the UNFCCC COP 20 in Lima</w:t>
      </w:r>
      <w:r w:rsidR="00471B86" w:rsidRPr="006D6E4A">
        <w:t>.</w:t>
      </w:r>
    </w:p>
    <w:p w:rsidR="00CA0A9A" w:rsidRPr="006D6E4A" w:rsidRDefault="00CA0A9A" w:rsidP="00BC283C">
      <w:pPr>
        <w:overflowPunct/>
        <w:adjustRightInd/>
        <w:textAlignment w:val="auto"/>
      </w:pPr>
    </w:p>
    <w:p w:rsidR="009E5903" w:rsidRPr="006D6E4A" w:rsidRDefault="00F06A50" w:rsidP="00BC283C">
      <w:pPr>
        <w:overflowPunct/>
        <w:adjustRightInd/>
        <w:textAlignment w:val="auto"/>
      </w:pPr>
      <w:r w:rsidRPr="006D6E4A">
        <w:t xml:space="preserve">In this context, the ENVE Commission </w:t>
      </w:r>
      <w:r w:rsidR="00C2048A" w:rsidRPr="006D6E4A">
        <w:t xml:space="preserve">could explore issuing </w:t>
      </w:r>
      <w:r w:rsidRPr="006D6E4A">
        <w:t>a</w:t>
      </w:r>
      <w:r w:rsidR="009E5903" w:rsidRPr="006D6E4A">
        <w:t xml:space="preserve">n own-initiative opinion on the </w:t>
      </w:r>
      <w:proofErr w:type="spellStart"/>
      <w:r w:rsidR="000435B4" w:rsidRPr="006D6E4A">
        <w:rPr>
          <w:b/>
        </w:rPr>
        <w:t>Remunicipalis</w:t>
      </w:r>
      <w:r w:rsidR="009E5903" w:rsidRPr="006D6E4A">
        <w:rPr>
          <w:b/>
        </w:rPr>
        <w:t>ation</w:t>
      </w:r>
      <w:proofErr w:type="spellEnd"/>
      <w:r w:rsidR="009E5903" w:rsidRPr="006D6E4A">
        <w:rPr>
          <w:b/>
        </w:rPr>
        <w:t xml:space="preserve"> of energy and the role of </w:t>
      </w:r>
      <w:r w:rsidR="00F91BFB" w:rsidRPr="006D6E4A">
        <w:rPr>
          <w:b/>
        </w:rPr>
        <w:t xml:space="preserve">the </w:t>
      </w:r>
      <w:r w:rsidR="009E5903" w:rsidRPr="006D6E4A">
        <w:rPr>
          <w:b/>
        </w:rPr>
        <w:t>local energy communit</w:t>
      </w:r>
      <w:r w:rsidR="00C959C2" w:rsidRPr="006D6E4A">
        <w:rPr>
          <w:b/>
        </w:rPr>
        <w:t>ies</w:t>
      </w:r>
      <w:r w:rsidR="009E5903" w:rsidRPr="006D6E4A">
        <w:rPr>
          <w:b/>
        </w:rPr>
        <w:t xml:space="preserve"> in Europe</w:t>
      </w:r>
      <w:r w:rsidR="00C2048A" w:rsidRPr="005E03C9">
        <w:t>.</w:t>
      </w:r>
      <w:r w:rsidR="009E5903" w:rsidRPr="006D6E4A">
        <w:t xml:space="preserve"> </w:t>
      </w:r>
      <w:r w:rsidR="00C2048A" w:rsidRPr="006D6E4A">
        <w:t>T</w:t>
      </w:r>
      <w:r w:rsidR="001B3A5D" w:rsidRPr="006D6E4A">
        <w:t>his work</w:t>
      </w:r>
      <w:r w:rsidR="009E5903" w:rsidRPr="006D6E4A">
        <w:t xml:space="preserve"> could inform EU decision-makers </w:t>
      </w:r>
      <w:r w:rsidR="00C959C2" w:rsidRPr="006D6E4A">
        <w:t xml:space="preserve">of </w:t>
      </w:r>
      <w:r w:rsidR="00C2048A" w:rsidRPr="006D6E4A">
        <w:t>the debate about</w:t>
      </w:r>
      <w:r w:rsidR="009B5DDC" w:rsidRPr="006D6E4A">
        <w:t xml:space="preserve"> </w:t>
      </w:r>
      <w:r w:rsidR="009E5903" w:rsidRPr="006D6E4A">
        <w:t xml:space="preserve">local energy ownership and local energy governance opportunities. The opinion could look at the local energy management challenges in the European context and </w:t>
      </w:r>
      <w:r w:rsidR="000435B4" w:rsidRPr="006D6E4A">
        <w:t>analyse</w:t>
      </w:r>
      <w:r w:rsidR="009E5903" w:rsidRPr="006D6E4A">
        <w:t xml:space="preserve"> the impacts of the local authorities taking </w:t>
      </w:r>
      <w:r w:rsidR="00C959C2" w:rsidRPr="006D6E4A">
        <w:t xml:space="preserve">or re-taking </w:t>
      </w:r>
      <w:r w:rsidR="009E5903" w:rsidRPr="006D6E4A">
        <w:t>owners</w:t>
      </w:r>
      <w:r w:rsidR="003A0160" w:rsidRPr="006D6E4A">
        <w:t>hip of the energy transition.</w:t>
      </w:r>
      <w:r w:rsidR="00145BBF" w:rsidRPr="006D6E4A">
        <w:t xml:space="preserve"> </w:t>
      </w:r>
      <w:r w:rsidR="009E5903" w:rsidRPr="006D6E4A">
        <w:t>This opinion could be accompanied by a study on "Local energy ownership in Europe"</w:t>
      </w:r>
      <w:r w:rsidR="00347847" w:rsidRPr="006D6E4A">
        <w:t>,</w:t>
      </w:r>
      <w:r w:rsidR="009E5903" w:rsidRPr="006D6E4A">
        <w:t xml:space="preserve"> looking at the situation in terms of local public initiatives in the EU28.</w:t>
      </w:r>
    </w:p>
    <w:p w:rsidR="008C4BA5" w:rsidRPr="006D6E4A" w:rsidRDefault="008C4BA5" w:rsidP="00BC283C">
      <w:pPr>
        <w:overflowPunct/>
        <w:adjustRightInd/>
        <w:textAlignment w:val="auto"/>
      </w:pPr>
    </w:p>
    <w:p w:rsidR="00250193" w:rsidRPr="006D6E4A" w:rsidRDefault="00250193" w:rsidP="00840188">
      <w:pPr>
        <w:keepNext/>
        <w:keepLines/>
        <w:numPr>
          <w:ilvl w:val="0"/>
          <w:numId w:val="1"/>
        </w:numPr>
        <w:overflowPunct/>
        <w:adjustRightInd/>
        <w:ind w:left="567" w:hanging="567"/>
        <w:textAlignment w:val="auto"/>
        <w:outlineLvl w:val="0"/>
        <w:rPr>
          <w:b/>
        </w:rPr>
      </w:pPr>
      <w:r w:rsidRPr="006D6E4A">
        <w:rPr>
          <w:b/>
        </w:rPr>
        <w:t>Follow-up of opinions</w:t>
      </w:r>
    </w:p>
    <w:p w:rsidR="00250193" w:rsidRPr="006D6E4A" w:rsidRDefault="00250193" w:rsidP="00840188">
      <w:pPr>
        <w:keepNext/>
        <w:keepLines/>
        <w:overflowPunct/>
        <w:adjustRightInd/>
        <w:ind w:left="720"/>
        <w:textAlignment w:val="auto"/>
        <w:outlineLvl w:val="0"/>
      </w:pPr>
    </w:p>
    <w:p w:rsidR="00250193" w:rsidRPr="006D6E4A" w:rsidRDefault="00250193" w:rsidP="00840188">
      <w:pPr>
        <w:overflowPunct/>
        <w:adjustRightInd/>
        <w:textAlignment w:val="auto"/>
        <w:outlineLvl w:val="0"/>
      </w:pPr>
      <w:r w:rsidRPr="006D6E4A">
        <w:t xml:space="preserve">The opinions of the European Committee of the Regions are the main political tools </w:t>
      </w:r>
      <w:r w:rsidR="00A3278E" w:rsidRPr="006D6E4A">
        <w:t xml:space="preserve">for </w:t>
      </w:r>
      <w:r w:rsidRPr="006D6E4A">
        <w:t>convey</w:t>
      </w:r>
      <w:r w:rsidR="00A3278E" w:rsidRPr="006D6E4A">
        <w:t>ing</w:t>
      </w:r>
      <w:r w:rsidRPr="006D6E4A">
        <w:t xml:space="preserve"> the political viewpoint of CoR members to the other institutions of the European Union. </w:t>
      </w:r>
      <w:r w:rsidR="00E12C55" w:rsidRPr="006D6E4A">
        <w:t>T</w:t>
      </w:r>
      <w:r w:rsidRPr="006D6E4A">
        <w:t xml:space="preserve">he CoR and its constitutive bodies, as well as all services of the administration </w:t>
      </w:r>
      <w:r w:rsidR="00F07389" w:rsidRPr="006D6E4A">
        <w:t xml:space="preserve">have to </w:t>
      </w:r>
      <w:proofErr w:type="spellStart"/>
      <w:r w:rsidR="00F07389" w:rsidRPr="006D6E4A">
        <w:t>ensure</w:t>
      </w:r>
      <w:r w:rsidRPr="006D6E4A">
        <w:t>the</w:t>
      </w:r>
      <w:proofErr w:type="spellEnd"/>
      <w:r w:rsidRPr="006D6E4A">
        <w:t xml:space="preserve"> follow-up of opinions</w:t>
      </w:r>
      <w:r w:rsidR="00234341" w:rsidRPr="006D6E4A">
        <w:t xml:space="preserve"> </w:t>
      </w:r>
      <w:r w:rsidR="00F07389" w:rsidRPr="006D6E4A">
        <w:t xml:space="preserve">including through </w:t>
      </w:r>
      <w:r w:rsidR="00234341" w:rsidRPr="006D6E4A">
        <w:t xml:space="preserve">communication </w:t>
      </w:r>
      <w:r w:rsidR="00F07389" w:rsidRPr="006D6E4A">
        <w:t xml:space="preserve">as part of its thematic communication priorities </w:t>
      </w:r>
      <w:r w:rsidR="006B6751" w:rsidRPr="006D6E4A">
        <w:t>to</w:t>
      </w:r>
      <w:r w:rsidRPr="006D6E4A">
        <w:t xml:space="preserve"> </w:t>
      </w:r>
      <w:r w:rsidR="00347847" w:rsidRPr="006D6E4A">
        <w:t>ensur</w:t>
      </w:r>
      <w:r w:rsidR="00F07389" w:rsidRPr="006D6E4A">
        <w:t>e</w:t>
      </w:r>
      <w:r w:rsidR="00347847" w:rsidRPr="006D6E4A">
        <w:t xml:space="preserve"> </w:t>
      </w:r>
      <w:r w:rsidRPr="006D6E4A">
        <w:t xml:space="preserve">that the messages of the CoR can achieve the </w:t>
      </w:r>
      <w:r w:rsidR="00136BCF" w:rsidRPr="006D6E4A">
        <w:t xml:space="preserve">maximum </w:t>
      </w:r>
      <w:r w:rsidRPr="006D6E4A">
        <w:t xml:space="preserve">political impact </w:t>
      </w:r>
      <w:r w:rsidR="00B33B03" w:rsidRPr="006D6E4A">
        <w:t xml:space="preserve">on </w:t>
      </w:r>
      <w:r w:rsidRPr="006D6E4A">
        <w:t>the EU decision-making process.</w:t>
      </w:r>
    </w:p>
    <w:p w:rsidR="00250193" w:rsidRPr="006D6E4A" w:rsidRDefault="00250193" w:rsidP="00BC283C">
      <w:pPr>
        <w:keepNext/>
        <w:overflowPunct/>
        <w:adjustRightInd/>
        <w:textAlignment w:val="auto"/>
        <w:outlineLvl w:val="0"/>
      </w:pPr>
    </w:p>
    <w:p w:rsidR="00250193" w:rsidRPr="006D6E4A" w:rsidRDefault="006C48B8" w:rsidP="00BC283C">
      <w:pPr>
        <w:keepNext/>
        <w:overflowPunct/>
        <w:adjustRightInd/>
        <w:textAlignment w:val="auto"/>
        <w:outlineLvl w:val="0"/>
      </w:pPr>
      <w:r w:rsidRPr="006D6E4A">
        <w:t xml:space="preserve">The ENVE Commission </w:t>
      </w:r>
      <w:r w:rsidR="006B6751" w:rsidRPr="006D6E4A">
        <w:t>will closely follow</w:t>
      </w:r>
      <w:r w:rsidR="00EB2F65" w:rsidRPr="006D6E4A">
        <w:t xml:space="preserve"> </w:t>
      </w:r>
      <w:r w:rsidR="006B6751" w:rsidRPr="006D6E4A">
        <w:t>up</w:t>
      </w:r>
      <w:r w:rsidR="00250193" w:rsidRPr="006D6E4A">
        <w:t xml:space="preserve"> and seek to influence interinstitutional developments on </w:t>
      </w:r>
      <w:r w:rsidR="00234341" w:rsidRPr="006D6E4A">
        <w:t xml:space="preserve">the following </w:t>
      </w:r>
      <w:r w:rsidR="00250193" w:rsidRPr="006D6E4A">
        <w:t xml:space="preserve">key dossiers which </w:t>
      </w:r>
      <w:r w:rsidR="00EB2F65" w:rsidRPr="006D6E4A">
        <w:t xml:space="preserve">are </w:t>
      </w:r>
      <w:r w:rsidR="00250193" w:rsidRPr="006D6E4A">
        <w:t xml:space="preserve">already </w:t>
      </w:r>
      <w:r w:rsidR="00EB2F65" w:rsidRPr="006D6E4A">
        <w:t xml:space="preserve">the </w:t>
      </w:r>
      <w:r w:rsidR="00250193" w:rsidRPr="006D6E4A">
        <w:t xml:space="preserve">subject </w:t>
      </w:r>
      <w:r w:rsidR="00EB2F65" w:rsidRPr="006D6E4A">
        <w:t xml:space="preserve">of </w:t>
      </w:r>
      <w:r w:rsidR="00250193" w:rsidRPr="006D6E4A">
        <w:t>CoR opinions:</w:t>
      </w:r>
    </w:p>
    <w:p w:rsidR="00C67EFD" w:rsidRPr="006D6E4A" w:rsidRDefault="00C67EFD" w:rsidP="00BC283C">
      <w:pPr>
        <w:keepNext/>
        <w:overflowPunct/>
        <w:adjustRightInd/>
        <w:textAlignment w:val="auto"/>
        <w:outlineLvl w:val="0"/>
      </w:pPr>
    </w:p>
    <w:p w:rsidR="001F5781" w:rsidRPr="006D6E4A" w:rsidRDefault="00060FC4" w:rsidP="00BC283C">
      <w:pPr>
        <w:keepNext/>
        <w:numPr>
          <w:ilvl w:val="0"/>
          <w:numId w:val="3"/>
        </w:numPr>
        <w:overflowPunct/>
        <w:adjustRightInd/>
        <w:textAlignment w:val="auto"/>
        <w:outlineLvl w:val="0"/>
      </w:pPr>
      <w:r w:rsidRPr="006D6E4A">
        <w:t xml:space="preserve">Opinion on </w:t>
      </w:r>
      <w:r w:rsidR="001F5781" w:rsidRPr="006D6E4A">
        <w:rPr>
          <w:i/>
        </w:rPr>
        <w:t>Climate finance: an essential tool for the implementation of the Paris Agreement</w:t>
      </w:r>
      <w:r w:rsidR="001F5781" w:rsidRPr="006D6E4A">
        <w:t>, COR 2108/2017;</w:t>
      </w:r>
    </w:p>
    <w:p w:rsidR="00250193" w:rsidRPr="006D6E4A" w:rsidRDefault="006B6751" w:rsidP="00BC283C">
      <w:pPr>
        <w:keepNext/>
        <w:numPr>
          <w:ilvl w:val="0"/>
          <w:numId w:val="3"/>
        </w:numPr>
        <w:overflowPunct/>
        <w:adjustRightInd/>
        <w:textAlignment w:val="auto"/>
        <w:outlineLvl w:val="0"/>
      </w:pPr>
      <w:r w:rsidRPr="006D6E4A">
        <w:t xml:space="preserve">Opinion on </w:t>
      </w:r>
      <w:r w:rsidR="001D35FE" w:rsidRPr="006D6E4A">
        <w:rPr>
          <w:i/>
        </w:rPr>
        <w:t>Towards a new EU climate change adaptation strategy – taking an integrated approach</w:t>
      </w:r>
      <w:r w:rsidR="001D35FE" w:rsidRPr="006D6E4A">
        <w:t xml:space="preserve">, </w:t>
      </w:r>
      <w:r w:rsidR="002D5CBE" w:rsidRPr="006D6E4A">
        <w:t xml:space="preserve">COR </w:t>
      </w:r>
      <w:r w:rsidR="001D35FE" w:rsidRPr="006D6E4A">
        <w:t>2430/2016;</w:t>
      </w:r>
    </w:p>
    <w:p w:rsidR="001D35FE" w:rsidRPr="005E03C9" w:rsidRDefault="001D35FE" w:rsidP="00BC283C">
      <w:pPr>
        <w:keepNext/>
        <w:numPr>
          <w:ilvl w:val="0"/>
          <w:numId w:val="3"/>
        </w:numPr>
        <w:overflowPunct/>
        <w:adjustRightInd/>
        <w:textAlignment w:val="auto"/>
        <w:outlineLvl w:val="0"/>
        <w:rPr>
          <w:i/>
        </w:rPr>
      </w:pPr>
      <w:r w:rsidRPr="006D6E4A">
        <w:t xml:space="preserve">Opinion on the </w:t>
      </w:r>
      <w:r w:rsidRPr="006D6E4A">
        <w:rPr>
          <w:i/>
        </w:rPr>
        <w:t>Legislative proposals for a</w:t>
      </w:r>
      <w:r w:rsidR="001B4BE7" w:rsidRPr="006D6E4A">
        <w:rPr>
          <w:i/>
        </w:rPr>
        <w:t xml:space="preserve">n </w:t>
      </w:r>
      <w:r w:rsidRPr="006D6E4A">
        <w:rPr>
          <w:i/>
        </w:rPr>
        <w:t xml:space="preserve">Effort Sharing </w:t>
      </w:r>
      <w:r w:rsidR="001B4BE7" w:rsidRPr="006D6E4A">
        <w:rPr>
          <w:i/>
        </w:rPr>
        <w:t xml:space="preserve">Regulation and a </w:t>
      </w:r>
      <w:r w:rsidRPr="006D6E4A">
        <w:rPr>
          <w:i/>
        </w:rPr>
        <w:t>LULUCF</w:t>
      </w:r>
      <w:r w:rsidR="001B4BE7" w:rsidRPr="006D6E4A">
        <w:rPr>
          <w:i/>
        </w:rPr>
        <w:t xml:space="preserve"> Regulation</w:t>
      </w:r>
      <w:r w:rsidRPr="006D6E4A">
        <w:t>, COR 5780/2016;</w:t>
      </w:r>
    </w:p>
    <w:p w:rsidR="008A7030" w:rsidRPr="006D6E4A" w:rsidRDefault="008A7030" w:rsidP="008A7030">
      <w:pPr>
        <w:keepNext/>
        <w:numPr>
          <w:ilvl w:val="0"/>
          <w:numId w:val="3"/>
        </w:numPr>
        <w:overflowPunct/>
        <w:adjustRightInd/>
        <w:textAlignment w:val="auto"/>
        <w:outlineLvl w:val="0"/>
        <w:rPr>
          <w:i/>
        </w:rPr>
      </w:pPr>
      <w:r w:rsidRPr="005E03C9">
        <w:t>Opinion on</w:t>
      </w:r>
      <w:r w:rsidRPr="006D6E4A">
        <w:rPr>
          <w:i/>
        </w:rPr>
        <w:t xml:space="preserve"> An EU Strategy on Heating and Cooling</w:t>
      </w:r>
      <w:r w:rsidRPr="006D6E4A">
        <w:t>,</w:t>
      </w:r>
      <w:r w:rsidRPr="006D6E4A">
        <w:rPr>
          <w:i/>
        </w:rPr>
        <w:t xml:space="preserve"> </w:t>
      </w:r>
      <w:r w:rsidRPr="005E03C9">
        <w:t>COR 1411/2016</w:t>
      </w:r>
    </w:p>
    <w:p w:rsidR="001D35FE" w:rsidRPr="006D6E4A" w:rsidRDefault="001D35FE" w:rsidP="00BC283C">
      <w:pPr>
        <w:keepNext/>
        <w:numPr>
          <w:ilvl w:val="0"/>
          <w:numId w:val="3"/>
        </w:numPr>
        <w:overflowPunct/>
        <w:adjustRightInd/>
        <w:textAlignment w:val="auto"/>
        <w:outlineLvl w:val="0"/>
        <w:rPr>
          <w:i/>
        </w:rPr>
      </w:pPr>
      <w:r w:rsidRPr="006D6E4A">
        <w:t xml:space="preserve">Opinion on </w:t>
      </w:r>
      <w:r w:rsidRPr="006D6E4A">
        <w:rPr>
          <w:i/>
        </w:rPr>
        <w:t>Energy efficiency and buildings</w:t>
      </w:r>
      <w:r w:rsidRPr="006D6E4A">
        <w:t>, COR 831/2017</w:t>
      </w:r>
    </w:p>
    <w:p w:rsidR="001D35FE" w:rsidRPr="006D6E4A" w:rsidRDefault="001D35FE" w:rsidP="00BC283C">
      <w:pPr>
        <w:keepNext/>
        <w:numPr>
          <w:ilvl w:val="0"/>
          <w:numId w:val="3"/>
        </w:numPr>
        <w:overflowPunct/>
        <w:adjustRightInd/>
        <w:textAlignment w:val="auto"/>
        <w:outlineLvl w:val="0"/>
        <w:rPr>
          <w:i/>
        </w:rPr>
      </w:pPr>
      <w:r w:rsidRPr="006D6E4A">
        <w:t xml:space="preserve">Opinion on </w:t>
      </w:r>
      <w:r w:rsidRPr="006D6E4A">
        <w:rPr>
          <w:i/>
        </w:rPr>
        <w:t xml:space="preserve">Energy Union </w:t>
      </w:r>
      <w:r w:rsidR="00D36441" w:rsidRPr="006D6E4A">
        <w:rPr>
          <w:i/>
        </w:rPr>
        <w:t xml:space="preserve">Governance </w:t>
      </w:r>
      <w:r w:rsidRPr="006D6E4A">
        <w:rPr>
          <w:i/>
        </w:rPr>
        <w:t>and clean energy</w:t>
      </w:r>
      <w:r w:rsidRPr="006D6E4A">
        <w:t>, COR 830/2017</w:t>
      </w:r>
    </w:p>
    <w:p w:rsidR="001D35FE" w:rsidRPr="006D6E4A" w:rsidRDefault="001D35FE" w:rsidP="00BC283C">
      <w:pPr>
        <w:keepNext/>
        <w:numPr>
          <w:ilvl w:val="0"/>
          <w:numId w:val="3"/>
        </w:numPr>
        <w:overflowPunct/>
        <w:adjustRightInd/>
        <w:textAlignment w:val="auto"/>
        <w:outlineLvl w:val="0"/>
        <w:rPr>
          <w:i/>
        </w:rPr>
      </w:pPr>
      <w:r w:rsidRPr="006D6E4A">
        <w:t xml:space="preserve">Opinion on </w:t>
      </w:r>
      <w:r w:rsidRPr="006D6E4A">
        <w:rPr>
          <w:i/>
        </w:rPr>
        <w:t>Renewable energy and internal electricity market</w:t>
      </w:r>
      <w:r w:rsidRPr="006D6E4A">
        <w:t>, COR 832/2017</w:t>
      </w:r>
    </w:p>
    <w:p w:rsidR="00892A22" w:rsidRPr="006D6E4A" w:rsidRDefault="00D36441" w:rsidP="00BC283C">
      <w:pPr>
        <w:keepNext/>
        <w:numPr>
          <w:ilvl w:val="0"/>
          <w:numId w:val="3"/>
        </w:numPr>
        <w:overflowPunct/>
        <w:adjustRightInd/>
        <w:textAlignment w:val="auto"/>
        <w:outlineLvl w:val="0"/>
        <w:rPr>
          <w:i/>
        </w:rPr>
      </w:pPr>
      <w:r w:rsidRPr="006D6E4A">
        <w:t xml:space="preserve">Opinion on an </w:t>
      </w:r>
      <w:r w:rsidRPr="006D6E4A">
        <w:rPr>
          <w:i/>
        </w:rPr>
        <w:t>EU strategy for space</w:t>
      </w:r>
      <w:r w:rsidRPr="006D6E4A">
        <w:t xml:space="preserve"> COR-2016-06726</w:t>
      </w:r>
    </w:p>
    <w:p w:rsidR="00E52FC4" w:rsidRPr="006D6E4A" w:rsidRDefault="00BC283C" w:rsidP="00BC283C">
      <w:pPr>
        <w:pStyle w:val="ListParagraph"/>
        <w:numPr>
          <w:ilvl w:val="0"/>
          <w:numId w:val="27"/>
        </w:numPr>
        <w:overflowPunct/>
        <w:adjustRightInd/>
        <w:ind w:left="360"/>
        <w:textAlignment w:val="auto"/>
      </w:pPr>
      <w:r w:rsidRPr="006D6E4A">
        <w:t xml:space="preserve">Opinion on </w:t>
      </w:r>
      <w:r w:rsidRPr="006D6E4A">
        <w:rPr>
          <w:i/>
        </w:rPr>
        <w:t>Contribution to the fitness check on the EU Birds and Habitats Directives</w:t>
      </w:r>
      <w:r w:rsidRPr="006D6E4A">
        <w:t>, COR-2015-2624;</w:t>
      </w:r>
    </w:p>
    <w:p w:rsidR="00E52FC4" w:rsidRPr="006D6E4A" w:rsidRDefault="00BC283C" w:rsidP="00BC283C">
      <w:pPr>
        <w:pStyle w:val="ListParagraph"/>
        <w:numPr>
          <w:ilvl w:val="0"/>
          <w:numId w:val="27"/>
        </w:numPr>
        <w:overflowPunct/>
        <w:adjustRightInd/>
        <w:ind w:left="360"/>
        <w:textAlignment w:val="auto"/>
      </w:pPr>
      <w:r w:rsidRPr="006D6E4A">
        <w:t xml:space="preserve">Opinion on An </w:t>
      </w:r>
      <w:r w:rsidRPr="006D6E4A">
        <w:rPr>
          <w:i/>
        </w:rPr>
        <w:t xml:space="preserve">EU action plan for the Circular Economy, </w:t>
      </w:r>
      <w:r w:rsidRPr="006D6E4A">
        <w:t>COR-2016-1415</w:t>
      </w:r>
    </w:p>
    <w:p w:rsidR="00E52FC4" w:rsidRPr="006D6E4A" w:rsidRDefault="00BC283C" w:rsidP="00BC283C">
      <w:pPr>
        <w:pStyle w:val="ListParagraph"/>
        <w:numPr>
          <w:ilvl w:val="0"/>
          <w:numId w:val="26"/>
        </w:numPr>
        <w:overflowPunct/>
        <w:adjustRightInd/>
        <w:ind w:left="360"/>
        <w:textAlignment w:val="auto"/>
      </w:pPr>
      <w:r w:rsidRPr="006D6E4A">
        <w:t xml:space="preserve">Opinion on </w:t>
      </w:r>
      <w:r w:rsidRPr="006D6E4A">
        <w:rPr>
          <w:i/>
        </w:rPr>
        <w:t>Effective water management system: an approach to innovative solutions</w:t>
      </w:r>
      <w:r w:rsidRPr="006D6E4A">
        <w:t>, COR-2016-3691</w:t>
      </w:r>
    </w:p>
    <w:p w:rsidR="00B81B31" w:rsidRPr="006D6E4A" w:rsidRDefault="00B81B31" w:rsidP="00BC283C">
      <w:pPr>
        <w:keepNext/>
        <w:numPr>
          <w:ilvl w:val="0"/>
          <w:numId w:val="3"/>
        </w:numPr>
        <w:overflowPunct/>
        <w:adjustRightInd/>
        <w:textAlignment w:val="auto"/>
        <w:outlineLvl w:val="0"/>
      </w:pPr>
      <w:r w:rsidRPr="006D6E4A">
        <w:t>Opinion on</w:t>
      </w:r>
      <w:r w:rsidRPr="006D6E4A">
        <w:rPr>
          <w:i/>
        </w:rPr>
        <w:t xml:space="preserve"> The role of waste-to-energy in the circular economy</w:t>
      </w:r>
      <w:r w:rsidRPr="006D6E4A">
        <w:t xml:space="preserve"> COR-2017-1982 (to be adopted)</w:t>
      </w:r>
    </w:p>
    <w:p w:rsidR="00250193" w:rsidRPr="006D6E4A" w:rsidRDefault="00250193" w:rsidP="00840188">
      <w:pPr>
        <w:overflowPunct/>
        <w:adjustRightInd/>
        <w:textAlignment w:val="auto"/>
        <w:outlineLvl w:val="0"/>
      </w:pPr>
    </w:p>
    <w:p w:rsidR="00BD7F91" w:rsidRPr="006D6E4A" w:rsidRDefault="00BD7F91" w:rsidP="00840188">
      <w:pPr>
        <w:keepNext/>
        <w:numPr>
          <w:ilvl w:val="0"/>
          <w:numId w:val="1"/>
        </w:numPr>
        <w:overflowPunct/>
        <w:adjustRightInd/>
        <w:ind w:left="567" w:hanging="567"/>
        <w:textAlignment w:val="auto"/>
        <w:outlineLvl w:val="0"/>
        <w:rPr>
          <w:b/>
        </w:rPr>
      </w:pPr>
      <w:r w:rsidRPr="006D6E4A">
        <w:rPr>
          <w:b/>
        </w:rPr>
        <w:t>Interinstitutional cooperation</w:t>
      </w:r>
    </w:p>
    <w:p w:rsidR="00BD7F91" w:rsidRPr="006D6E4A" w:rsidRDefault="00BD7F91" w:rsidP="00BC283C">
      <w:pPr>
        <w:keepNext/>
        <w:overflowPunct/>
        <w:adjustRightInd/>
        <w:textAlignment w:val="auto"/>
      </w:pPr>
    </w:p>
    <w:p w:rsidR="00D40112" w:rsidRPr="006D6E4A" w:rsidRDefault="00D40112" w:rsidP="00BC283C">
      <w:pPr>
        <w:overflowPunct/>
        <w:adjustRightInd/>
        <w:textAlignment w:val="auto"/>
      </w:pPr>
      <w:r w:rsidRPr="006D6E4A">
        <w:t>Complementing the enhanced political cooperation with the European Parliament on thematic priority files, the ENVE Commission will strive for closer bilateral contacts with the relevant European Parliament committees (notably ENVI</w:t>
      </w:r>
      <w:r w:rsidR="009A7699" w:rsidRPr="006D6E4A">
        <w:t xml:space="preserve"> and </w:t>
      </w:r>
      <w:r w:rsidRPr="006D6E4A">
        <w:t xml:space="preserve">ITRE) and </w:t>
      </w:r>
      <w:proofErr w:type="spellStart"/>
      <w:r w:rsidRPr="006D6E4A">
        <w:t>intergroups</w:t>
      </w:r>
      <w:proofErr w:type="spellEnd"/>
      <w:r w:rsidRPr="006D6E4A">
        <w:t xml:space="preserve">, </w:t>
      </w:r>
      <w:r w:rsidR="00F06A50" w:rsidRPr="006D6E4A">
        <w:t xml:space="preserve">aiming to strengthen contacts </w:t>
      </w:r>
      <w:r w:rsidRPr="006D6E4A">
        <w:t xml:space="preserve">between the CoR ENVE </w:t>
      </w:r>
      <w:r w:rsidR="00F06A50" w:rsidRPr="006D6E4A">
        <w:t>Commission</w:t>
      </w:r>
      <w:r w:rsidR="002306F3" w:rsidRPr="006D6E4A">
        <w:t>'s</w:t>
      </w:r>
      <w:r w:rsidR="00F06A50" w:rsidRPr="006D6E4A">
        <w:t xml:space="preserve"> </w:t>
      </w:r>
      <w:r w:rsidRPr="006D6E4A">
        <w:t xml:space="preserve">members/rapporteurs and members/rapporteurs of the European Parliament. </w:t>
      </w:r>
      <w:r w:rsidR="00F06A50" w:rsidRPr="006D6E4A">
        <w:t xml:space="preserve">Possibilities for </w:t>
      </w:r>
      <w:r w:rsidRPr="006D6E4A">
        <w:t>active exchange</w:t>
      </w:r>
      <w:r w:rsidR="002306F3" w:rsidRPr="006D6E4A">
        <w:t>s</w:t>
      </w:r>
      <w:r w:rsidRPr="006D6E4A">
        <w:t xml:space="preserve"> of views with members of the European Parliament </w:t>
      </w:r>
      <w:r w:rsidR="00F06A50" w:rsidRPr="006D6E4A">
        <w:t xml:space="preserve">will be sought </w:t>
      </w:r>
      <w:r w:rsidRPr="006D6E4A">
        <w:t xml:space="preserve">both in ENVE meetings and </w:t>
      </w:r>
      <w:r w:rsidR="002306F3" w:rsidRPr="006D6E4A">
        <w:t xml:space="preserve">the </w:t>
      </w:r>
      <w:r w:rsidRPr="006D6E4A">
        <w:t xml:space="preserve">relevant </w:t>
      </w:r>
      <w:r w:rsidR="00F06A50" w:rsidRPr="006D6E4A">
        <w:t xml:space="preserve">EP </w:t>
      </w:r>
      <w:r w:rsidRPr="006D6E4A">
        <w:t>committee meetings</w:t>
      </w:r>
      <w:r w:rsidR="00F06A50" w:rsidRPr="006D6E4A">
        <w:t xml:space="preserve">, and </w:t>
      </w:r>
      <w:r w:rsidRPr="006D6E4A">
        <w:t xml:space="preserve">bilateral consultations with the leading </w:t>
      </w:r>
      <w:r w:rsidR="00F06A50" w:rsidRPr="006D6E4A">
        <w:t xml:space="preserve">EP </w:t>
      </w:r>
      <w:r w:rsidRPr="006D6E4A">
        <w:t>rapporteurs, rapporteurs on opinions and shadow rapporteurs</w:t>
      </w:r>
      <w:r w:rsidR="00F06A50" w:rsidRPr="006D6E4A">
        <w:t xml:space="preserve"> will be organi</w:t>
      </w:r>
      <w:r w:rsidR="00BA6086" w:rsidRPr="006D6E4A">
        <w:t>s</w:t>
      </w:r>
      <w:r w:rsidR="00F06A50" w:rsidRPr="006D6E4A">
        <w:t>ed.</w:t>
      </w:r>
      <w:r w:rsidR="00F07389" w:rsidRPr="006D6E4A">
        <w:t xml:space="preserve"> Possibilities for joint hearings of the ENVE Commission with the EP Committees on priority subjects will be explored. </w:t>
      </w:r>
      <w:r w:rsidR="00F06A50" w:rsidRPr="006D6E4A">
        <w:t>C</w:t>
      </w:r>
      <w:r w:rsidRPr="006D6E4A">
        <w:t>ooperation on events hosted by the European Parliament inter</w:t>
      </w:r>
      <w:r w:rsidR="00746901" w:rsidRPr="006D6E4A">
        <w:t>-</w:t>
      </w:r>
      <w:r w:rsidRPr="006D6E4A">
        <w:t xml:space="preserve">groups </w:t>
      </w:r>
      <w:r w:rsidR="00F06A50" w:rsidRPr="006D6E4A">
        <w:t xml:space="preserve">has been envisaged, notably with the intergroup </w:t>
      </w:r>
      <w:r w:rsidRPr="006D6E4A">
        <w:t>on "Climate Change, Biodiversity and Sustainable Development"</w:t>
      </w:r>
      <w:r w:rsidR="00F06A50" w:rsidRPr="006D6E4A">
        <w:t xml:space="preserve">. </w:t>
      </w:r>
    </w:p>
    <w:p w:rsidR="00D40112" w:rsidRPr="006D6E4A" w:rsidRDefault="00D40112" w:rsidP="00BC283C">
      <w:pPr>
        <w:overflowPunct/>
        <w:adjustRightInd/>
        <w:textAlignment w:val="auto"/>
      </w:pPr>
    </w:p>
    <w:p w:rsidR="00D40112" w:rsidRPr="006D6E4A" w:rsidRDefault="00D33081" w:rsidP="00BC283C">
      <w:pPr>
        <w:overflowPunct/>
        <w:adjustRightInd/>
        <w:textAlignment w:val="auto"/>
      </w:pPr>
      <w:r w:rsidRPr="006D6E4A">
        <w:t>T</w:t>
      </w:r>
      <w:r w:rsidR="00D40112" w:rsidRPr="006D6E4A">
        <w:t xml:space="preserve">he ENVE Commission will </w:t>
      </w:r>
      <w:r w:rsidRPr="006D6E4A">
        <w:t xml:space="preserve">continue to </w:t>
      </w:r>
      <w:r w:rsidR="00D40112" w:rsidRPr="006D6E4A">
        <w:t xml:space="preserve">explore opportunities to substantiate its opinions by commissioning </w:t>
      </w:r>
      <w:r w:rsidR="00694969" w:rsidRPr="006D6E4A">
        <w:t xml:space="preserve">analyses </w:t>
      </w:r>
      <w:r w:rsidR="00D40112" w:rsidRPr="006D6E4A">
        <w:t>from the European Parliamentary Research Service (EPRS), as provided for in the cooperation agreement between the CoR and European Parliament.</w:t>
      </w:r>
    </w:p>
    <w:p w:rsidR="00D40112" w:rsidRPr="006D6E4A" w:rsidRDefault="00D40112" w:rsidP="00BC283C">
      <w:pPr>
        <w:overflowPunct/>
        <w:adjustRightInd/>
        <w:textAlignment w:val="auto"/>
      </w:pPr>
    </w:p>
    <w:p w:rsidR="00D40112" w:rsidRPr="006D6E4A" w:rsidRDefault="00D40112" w:rsidP="00BC283C">
      <w:pPr>
        <w:overflowPunct/>
        <w:adjustRightInd/>
        <w:textAlignment w:val="auto"/>
      </w:pPr>
      <w:r w:rsidRPr="006D6E4A">
        <w:t xml:space="preserve">The ENVE Commission will aim to </w:t>
      </w:r>
      <w:r w:rsidR="008A7030" w:rsidRPr="006D6E4A">
        <w:t>establish</w:t>
      </w:r>
      <w:r w:rsidRPr="006D6E4A">
        <w:t xml:space="preserve"> fruitful cooperation with the Council and the Bulgarian and Austrian Presidencies of the Council of the European Union. Possible presidency referrals and the CoR contribution to informal Council </w:t>
      </w:r>
      <w:r w:rsidR="000435B4" w:rsidRPr="006D6E4A">
        <w:t>meetings could</w:t>
      </w:r>
      <w:r w:rsidR="006873F3" w:rsidRPr="006D6E4A">
        <w:t xml:space="preserve"> be explored</w:t>
      </w:r>
      <w:r w:rsidRPr="006D6E4A">
        <w:t>.</w:t>
      </w:r>
    </w:p>
    <w:p w:rsidR="00746901" w:rsidRPr="006D6E4A" w:rsidRDefault="00746901" w:rsidP="00BC283C">
      <w:pPr>
        <w:overflowPunct/>
        <w:adjustRightInd/>
        <w:textAlignment w:val="auto"/>
      </w:pPr>
    </w:p>
    <w:p w:rsidR="00D40112" w:rsidRPr="006D6E4A" w:rsidRDefault="00D40112" w:rsidP="00BC283C">
      <w:pPr>
        <w:overflowPunct/>
        <w:adjustRightInd/>
        <w:textAlignment w:val="auto"/>
      </w:pPr>
      <w:r w:rsidRPr="006D6E4A">
        <w:lastRenderedPageBreak/>
        <w:t>The ENVE Commission will seek to maintain and further develop the good contacts it has established with the different Directorates-General of the European Commission in line with its remits, especially DG ENER, DG CLIMA, DG ENV, and DG RTD. The ENVE Commission will also cooperat</w:t>
      </w:r>
      <w:r w:rsidR="006E577E" w:rsidRPr="006D6E4A">
        <w:t>e more closely</w:t>
      </w:r>
      <w:r w:rsidRPr="006D6E4A">
        <w:t xml:space="preserve"> with the European Investment Bank on its financing facilities in the areas dealt with by the ENVE Commission in order to promote access to </w:t>
      </w:r>
      <w:r w:rsidR="00494FF7" w:rsidRPr="006D6E4A">
        <w:t>resources</w:t>
      </w:r>
      <w:r w:rsidR="006D6E4A">
        <w:t xml:space="preserve"> </w:t>
      </w:r>
      <w:r w:rsidRPr="006D6E4A">
        <w:t>for local and regional authorities, especially with regard to small and medium</w:t>
      </w:r>
      <w:r w:rsidR="00C165B4" w:rsidRPr="006D6E4A">
        <w:t>-</w:t>
      </w:r>
      <w:r w:rsidRPr="006D6E4A">
        <w:t>scale projects on climate change.</w:t>
      </w:r>
    </w:p>
    <w:p w:rsidR="006873F3" w:rsidRPr="006D6E4A" w:rsidRDefault="006873F3" w:rsidP="00BC283C">
      <w:pPr>
        <w:overflowPunct/>
        <w:adjustRightInd/>
        <w:textAlignment w:val="auto"/>
      </w:pPr>
    </w:p>
    <w:p w:rsidR="006873F3" w:rsidRPr="006D6E4A" w:rsidRDefault="00423680" w:rsidP="00BC283C">
      <w:pPr>
        <w:overflowPunct/>
        <w:adjustRightInd/>
        <w:textAlignment w:val="auto"/>
      </w:pPr>
      <w:r w:rsidRPr="006D6E4A">
        <w:t xml:space="preserve">The </w:t>
      </w:r>
      <w:r w:rsidR="006873F3" w:rsidRPr="006D6E4A">
        <w:t>ENVE</w:t>
      </w:r>
      <w:r w:rsidRPr="006D6E4A">
        <w:t xml:space="preserve"> Commission</w:t>
      </w:r>
      <w:r w:rsidR="006873F3" w:rsidRPr="006D6E4A">
        <w:t xml:space="preserve"> </w:t>
      </w:r>
      <w:r w:rsidR="00494FF7" w:rsidRPr="006D6E4A">
        <w:t xml:space="preserve">will cooperate </w:t>
      </w:r>
      <w:r w:rsidR="006873F3" w:rsidRPr="006D6E4A">
        <w:t xml:space="preserve">with </w:t>
      </w:r>
      <w:r w:rsidR="00FC0FF1" w:rsidRPr="006D6E4A">
        <w:t xml:space="preserve">the European Commission's </w:t>
      </w:r>
      <w:r w:rsidR="006873F3" w:rsidRPr="006D6E4A">
        <w:t xml:space="preserve">DG Environment to discuss potential cooperation </w:t>
      </w:r>
      <w:r w:rsidR="005876D3" w:rsidRPr="006D6E4A">
        <w:t>for</w:t>
      </w:r>
      <w:r w:rsidR="006873F3" w:rsidRPr="006D6E4A">
        <w:t xml:space="preserve"> the </w:t>
      </w:r>
      <w:r w:rsidR="000A0289" w:rsidRPr="006D6E4A">
        <w:t xml:space="preserve">2018 </w:t>
      </w:r>
      <w:r w:rsidR="006873F3" w:rsidRPr="006D6E4A">
        <w:t xml:space="preserve">Green Week (21-25 May). The </w:t>
      </w:r>
      <w:r w:rsidR="00494FF7" w:rsidRPr="006D6E4A">
        <w:t xml:space="preserve">political contacts will be developed </w:t>
      </w:r>
      <w:r w:rsidR="006873F3" w:rsidRPr="006D6E4A">
        <w:t xml:space="preserve">between </w:t>
      </w:r>
      <w:r w:rsidR="00E527A3" w:rsidRPr="006D6E4A">
        <w:t xml:space="preserve">CoR </w:t>
      </w:r>
      <w:r w:rsidR="006873F3" w:rsidRPr="006D6E4A">
        <w:t xml:space="preserve">President </w:t>
      </w:r>
      <w:r w:rsidR="00E527A3" w:rsidRPr="006D6E4A">
        <w:t xml:space="preserve">Karl-Heinz </w:t>
      </w:r>
      <w:r w:rsidR="006873F3" w:rsidRPr="006D6E4A">
        <w:t xml:space="preserve">Lambertz and </w:t>
      </w:r>
      <w:r w:rsidR="00CC1FE9" w:rsidRPr="006D6E4A">
        <w:t xml:space="preserve">the </w:t>
      </w:r>
      <w:r w:rsidR="006873F3" w:rsidRPr="006D6E4A">
        <w:t xml:space="preserve">Commissioner </w:t>
      </w:r>
      <w:r w:rsidR="00D9692F" w:rsidRPr="006D6E4A">
        <w:t xml:space="preserve">Karmenu </w:t>
      </w:r>
      <w:r w:rsidR="006873F3" w:rsidRPr="006D6E4A">
        <w:t>Vella.</w:t>
      </w:r>
    </w:p>
    <w:p w:rsidR="00B54B31" w:rsidRPr="006D6E4A" w:rsidRDefault="00B54B31" w:rsidP="00BC283C">
      <w:pPr>
        <w:overflowPunct/>
        <w:adjustRightInd/>
        <w:textAlignment w:val="auto"/>
      </w:pPr>
    </w:p>
    <w:p w:rsidR="00B54B31" w:rsidRPr="006D6E4A" w:rsidRDefault="00423680" w:rsidP="00BC283C">
      <w:pPr>
        <w:overflowPunct/>
        <w:adjustRightInd/>
        <w:textAlignment w:val="auto"/>
      </w:pPr>
      <w:r w:rsidRPr="006D6E4A">
        <w:t xml:space="preserve">The </w:t>
      </w:r>
      <w:r w:rsidR="00B54B31" w:rsidRPr="006D6E4A">
        <w:t>ENVE</w:t>
      </w:r>
      <w:r w:rsidRPr="006D6E4A">
        <w:t xml:space="preserve"> Commission</w:t>
      </w:r>
      <w:r w:rsidR="00494FF7" w:rsidRPr="006D6E4A">
        <w:t xml:space="preserve"> will also </w:t>
      </w:r>
      <w:proofErr w:type="gramStart"/>
      <w:r w:rsidR="00494FF7" w:rsidRPr="006D6E4A">
        <w:t xml:space="preserve">cooperate </w:t>
      </w:r>
      <w:r w:rsidR="00B54B31" w:rsidRPr="006D6E4A">
        <w:t xml:space="preserve"> with</w:t>
      </w:r>
      <w:proofErr w:type="gramEnd"/>
      <w:r w:rsidR="00B54B31" w:rsidRPr="006D6E4A">
        <w:t xml:space="preserve"> the secretariat of the European Week of Waste Reduction (EWWR) </w:t>
      </w:r>
      <w:r w:rsidR="00494FF7" w:rsidRPr="006D6E4A">
        <w:t xml:space="preserve">regarding the </w:t>
      </w:r>
      <w:r w:rsidR="00B54B31" w:rsidRPr="006D6E4A">
        <w:t>organi</w:t>
      </w:r>
      <w:r w:rsidR="001062F4" w:rsidRPr="006D6E4A">
        <w:t>s</w:t>
      </w:r>
      <w:r w:rsidR="00494FF7" w:rsidRPr="006D6E4A">
        <w:t>ation and hosting of</w:t>
      </w:r>
      <w:r w:rsidR="00B54B31" w:rsidRPr="006D6E4A">
        <w:t xml:space="preserve"> the EWWR annual award at the CoR during the Green Week</w:t>
      </w:r>
      <w:r w:rsidR="00494FF7" w:rsidRPr="006D6E4A">
        <w:t xml:space="preserve">. A CoR </w:t>
      </w:r>
      <w:proofErr w:type="gramStart"/>
      <w:r w:rsidR="00494FF7" w:rsidRPr="006D6E4A">
        <w:t xml:space="preserve">representative </w:t>
      </w:r>
      <w:r w:rsidR="00B54B31" w:rsidRPr="006D6E4A">
        <w:t xml:space="preserve"> has</w:t>
      </w:r>
      <w:proofErr w:type="gramEnd"/>
      <w:r w:rsidR="00B54B31" w:rsidRPr="006D6E4A">
        <w:t xml:space="preserve"> been </w:t>
      </w:r>
      <w:r w:rsidR="00494FF7" w:rsidRPr="006D6E4A">
        <w:t xml:space="preserve">included </w:t>
      </w:r>
      <w:r w:rsidR="00B837A5" w:rsidRPr="006D6E4A">
        <w:t>in the selection panel</w:t>
      </w:r>
      <w:r w:rsidR="00B54B31" w:rsidRPr="006D6E4A">
        <w:t>.</w:t>
      </w:r>
    </w:p>
    <w:p w:rsidR="00B54B31" w:rsidRPr="006D6E4A" w:rsidRDefault="00B54B31" w:rsidP="00BC283C">
      <w:pPr>
        <w:overflowPunct/>
        <w:adjustRightInd/>
        <w:textAlignment w:val="auto"/>
      </w:pPr>
    </w:p>
    <w:p w:rsidR="00B54B31" w:rsidRPr="006D6E4A" w:rsidRDefault="00B54B31" w:rsidP="00BC283C">
      <w:pPr>
        <w:overflowPunct/>
        <w:adjustRightInd/>
        <w:textAlignment w:val="auto"/>
      </w:pPr>
      <w:r w:rsidRPr="006D6E4A">
        <w:t>Moreover, the ENVE Commission will seek active involvement in activities related to the European Green Capital Award, European Green Leaf Award</w:t>
      </w:r>
      <w:r w:rsidR="00494FF7" w:rsidRPr="006D6E4A">
        <w:t xml:space="preserve">, </w:t>
      </w:r>
      <w:proofErr w:type="gramStart"/>
      <w:r w:rsidR="00494FF7" w:rsidRPr="006D6E4A">
        <w:t>European</w:t>
      </w:r>
      <w:proofErr w:type="gramEnd"/>
      <w:r w:rsidR="00494FF7" w:rsidRPr="006D6E4A">
        <w:t xml:space="preserve"> Tree of the Year Award</w:t>
      </w:r>
      <w:r w:rsidRPr="006D6E4A">
        <w:t xml:space="preserve"> and the Natura 2000 Award and to continue its participation in the </w:t>
      </w:r>
      <w:r w:rsidR="00FF42AF" w:rsidRPr="006D6E4A">
        <w:t>selection panels for those</w:t>
      </w:r>
      <w:r w:rsidRPr="006D6E4A">
        <w:t xml:space="preserve"> awards.</w:t>
      </w:r>
    </w:p>
    <w:p w:rsidR="00B54B31" w:rsidRPr="006D6E4A" w:rsidRDefault="00B54B31" w:rsidP="00BC283C">
      <w:pPr>
        <w:overflowPunct/>
        <w:adjustRightInd/>
        <w:textAlignment w:val="auto"/>
      </w:pPr>
    </w:p>
    <w:p w:rsidR="00B54B31" w:rsidRPr="006D6E4A" w:rsidRDefault="00B54B31" w:rsidP="00BC283C">
      <w:pPr>
        <w:overflowPunct/>
        <w:adjustRightInd/>
        <w:textAlignment w:val="auto"/>
        <w:rPr>
          <w:highlight w:val="yellow"/>
        </w:rPr>
      </w:pPr>
      <w:r w:rsidRPr="006D6E4A">
        <w:t>The ENVE Commission will seek to further develop the contacts it has established with the EU agencies active in the areas covered by the ENVE remit, notably the European Environment Agency (EEA) with which it will explore additional scope for targeted cooperation.</w:t>
      </w:r>
    </w:p>
    <w:p w:rsidR="00BD7F91" w:rsidRPr="006D6E4A" w:rsidRDefault="00BD7F91" w:rsidP="00BC283C">
      <w:pPr>
        <w:overflowPunct/>
        <w:adjustRightInd/>
        <w:textAlignment w:val="auto"/>
      </w:pPr>
    </w:p>
    <w:p w:rsidR="00BD7F91" w:rsidRPr="006D6E4A" w:rsidRDefault="00BD7F91" w:rsidP="00840188">
      <w:pPr>
        <w:keepNext/>
        <w:numPr>
          <w:ilvl w:val="0"/>
          <w:numId w:val="1"/>
        </w:numPr>
        <w:overflowPunct/>
        <w:adjustRightInd/>
        <w:ind w:left="567" w:hanging="567"/>
        <w:textAlignment w:val="auto"/>
        <w:outlineLvl w:val="0"/>
        <w:rPr>
          <w:b/>
        </w:rPr>
      </w:pPr>
      <w:r w:rsidRPr="006D6E4A">
        <w:rPr>
          <w:b/>
        </w:rPr>
        <w:t>Cooperation with other organisations and bodies</w:t>
      </w:r>
    </w:p>
    <w:p w:rsidR="00BD7F91" w:rsidRPr="006D6E4A" w:rsidRDefault="00BD7F91" w:rsidP="00BC283C">
      <w:pPr>
        <w:keepNext/>
        <w:overflowPunct/>
        <w:adjustRightInd/>
        <w:textAlignment w:val="auto"/>
        <w:rPr>
          <w:u w:val="single"/>
        </w:rPr>
      </w:pPr>
    </w:p>
    <w:p w:rsidR="00B54B31" w:rsidRPr="006D6E4A" w:rsidRDefault="008C6717" w:rsidP="00BC283C">
      <w:pPr>
        <w:overflowPunct/>
        <w:adjustRightInd/>
        <w:textAlignment w:val="auto"/>
      </w:pPr>
      <w:r w:rsidRPr="006D6E4A">
        <w:t xml:space="preserve">The ENVE Commission will follow up on the possibilities linked with the </w:t>
      </w:r>
      <w:proofErr w:type="spellStart"/>
      <w:r w:rsidRPr="006D6E4A">
        <w:t>CoR's</w:t>
      </w:r>
      <w:proofErr w:type="spellEnd"/>
      <w:r w:rsidRPr="006D6E4A">
        <w:t xml:space="preserve"> participation in the Global Covenant of Mayors Founders Council.</w:t>
      </w:r>
      <w:r w:rsidR="00145BBF" w:rsidRPr="006D6E4A">
        <w:t xml:space="preserve"> </w:t>
      </w:r>
      <w:r w:rsidRPr="006D6E4A">
        <w:t>In this context, the ENVE Commission will explore possibilities for creating direct links through the Global Covenant of Mayors' Ambassadors with the US National League of Cities, the Climate Mayors, the US Climate Alliance and/or the National Association of Counties to form a joint climate front for the next COP in Katowice.</w:t>
      </w:r>
    </w:p>
    <w:p w:rsidR="008C6717" w:rsidRPr="006D6E4A" w:rsidRDefault="008C6717" w:rsidP="00BC283C">
      <w:pPr>
        <w:overflowPunct/>
        <w:adjustRightInd/>
        <w:textAlignment w:val="auto"/>
      </w:pPr>
    </w:p>
    <w:p w:rsidR="008C6717" w:rsidRPr="006D6E4A" w:rsidRDefault="00494FF7" w:rsidP="00BC283C">
      <w:pPr>
        <w:overflowPunct/>
        <w:adjustRightInd/>
        <w:textAlignment w:val="auto"/>
      </w:pPr>
      <w:r w:rsidRPr="006D6E4A">
        <w:t>In this context</w:t>
      </w:r>
      <w:r w:rsidR="008C6717" w:rsidRPr="006D6E4A">
        <w:t xml:space="preserve">, the ENVE Commission will strive </w:t>
      </w:r>
      <w:r w:rsidR="00D206B4" w:rsidRPr="006D6E4A">
        <w:t xml:space="preserve">to </w:t>
      </w:r>
      <w:r w:rsidR="008C6717" w:rsidRPr="006D6E4A">
        <w:t xml:space="preserve">re-activate the </w:t>
      </w:r>
      <w:proofErr w:type="spellStart"/>
      <w:r w:rsidR="008C6717" w:rsidRPr="006D6E4A">
        <w:t>CoR's</w:t>
      </w:r>
      <w:proofErr w:type="spellEnd"/>
      <w:r w:rsidR="008C6717" w:rsidRPr="006D6E4A">
        <w:t xml:space="preserve"> Memorandum of Understanding with the US Conference of Mayors, and </w:t>
      </w:r>
      <w:r w:rsidR="00C2048A" w:rsidRPr="006D6E4A">
        <w:t xml:space="preserve">explore the possibilities of </w:t>
      </w:r>
      <w:r w:rsidR="00D206B4" w:rsidRPr="006D6E4A">
        <w:t xml:space="preserve">signing </w:t>
      </w:r>
      <w:r w:rsidR="008C6717" w:rsidRPr="006D6E4A">
        <w:t xml:space="preserve">of a </w:t>
      </w:r>
      <w:r w:rsidR="00C2048A" w:rsidRPr="006D6E4A">
        <w:t xml:space="preserve">similar </w:t>
      </w:r>
      <w:r w:rsidR="008C6717" w:rsidRPr="006D6E4A">
        <w:t>Memorandum of Understanding (or an action plan) with the Federation of Canadian Municipalities</w:t>
      </w:r>
      <w:r w:rsidR="00C2048A" w:rsidRPr="006D6E4A">
        <w:t xml:space="preserve"> and other municipalities in countries with high levels of greenhouse gas emissions</w:t>
      </w:r>
      <w:r w:rsidR="008C6717" w:rsidRPr="006D6E4A">
        <w:t xml:space="preserve">. </w:t>
      </w:r>
      <w:r w:rsidR="00C2048A" w:rsidRPr="006D6E4A">
        <w:t xml:space="preserve">Such an </w:t>
      </w:r>
      <w:proofErr w:type="gramStart"/>
      <w:r w:rsidR="00C2048A" w:rsidRPr="006D6E4A">
        <w:t xml:space="preserve">intensification </w:t>
      </w:r>
      <w:r w:rsidR="009D0E0C" w:rsidRPr="006D6E4A">
        <w:t xml:space="preserve"> </w:t>
      </w:r>
      <w:r w:rsidR="008C6717" w:rsidRPr="006D6E4A">
        <w:t>of</w:t>
      </w:r>
      <w:proofErr w:type="gramEnd"/>
      <w:r w:rsidR="008C6717" w:rsidRPr="006D6E4A">
        <w:t xml:space="preserve"> </w:t>
      </w:r>
      <w:r w:rsidR="00C2048A" w:rsidRPr="006D6E4A">
        <w:t xml:space="preserve">international </w:t>
      </w:r>
      <w:r w:rsidR="008C6717" w:rsidRPr="006D6E4A">
        <w:t xml:space="preserve">dialogue at the local and regional level </w:t>
      </w:r>
      <w:r w:rsidR="00C2048A" w:rsidRPr="006D6E4A">
        <w:t xml:space="preserve">could </w:t>
      </w:r>
      <w:r w:rsidR="008C6717" w:rsidRPr="006D6E4A">
        <w:t xml:space="preserve">open a direct channel of communication between local authorities from both sides of the Atlantic in order to </w:t>
      </w:r>
      <w:r w:rsidR="004F4C3E" w:rsidRPr="006D6E4A">
        <w:t>discuss</w:t>
      </w:r>
      <w:r w:rsidR="008C6717" w:rsidRPr="006D6E4A">
        <w:t xml:space="preserve"> concrete </w:t>
      </w:r>
      <w:r w:rsidR="004F4C3E" w:rsidRPr="006D6E4A">
        <w:t xml:space="preserve">measures </w:t>
      </w:r>
      <w:r w:rsidR="008C6717" w:rsidRPr="006D6E4A">
        <w:t>to reduce the common carbon footprint</w:t>
      </w:r>
      <w:r w:rsidR="00C2048A" w:rsidRPr="006D6E4A">
        <w:t xml:space="preserve"> and to highlight the role of local and regional climate action vis-à-vis our national and international partners</w:t>
      </w:r>
      <w:r w:rsidR="008C6717" w:rsidRPr="006D6E4A">
        <w:t>.</w:t>
      </w:r>
    </w:p>
    <w:p w:rsidR="008C6717" w:rsidRPr="006D6E4A" w:rsidRDefault="008C6717" w:rsidP="00BC283C">
      <w:pPr>
        <w:overflowPunct/>
        <w:adjustRightInd/>
        <w:textAlignment w:val="auto"/>
      </w:pPr>
    </w:p>
    <w:p w:rsidR="00E54FDB" w:rsidRPr="006D6E4A" w:rsidRDefault="00E54FDB" w:rsidP="00BC283C">
      <w:pPr>
        <w:overflowPunct/>
        <w:adjustRightInd/>
        <w:textAlignment w:val="auto"/>
      </w:pPr>
      <w:r w:rsidRPr="006D6E4A">
        <w:t xml:space="preserve">Following the </w:t>
      </w:r>
      <w:r w:rsidR="00932E0E" w:rsidRPr="006D6E4A">
        <w:t xml:space="preserve">signing </w:t>
      </w:r>
      <w:r w:rsidRPr="006D6E4A">
        <w:t>of two separate Action Plans for 2017-2018</w:t>
      </w:r>
      <w:r w:rsidR="00F750F4" w:rsidRPr="006D6E4A">
        <w:t xml:space="preserve"> </w:t>
      </w:r>
      <w:r w:rsidRPr="006D6E4A">
        <w:t xml:space="preserve">with ICLEI and </w:t>
      </w:r>
      <w:r w:rsidR="00F750F4" w:rsidRPr="006D6E4A">
        <w:t xml:space="preserve">the </w:t>
      </w:r>
      <w:r w:rsidRPr="006D6E4A">
        <w:t xml:space="preserve">Climate Alliance, the ENVE Commission will cooperate with these two associations </w:t>
      </w:r>
      <w:r w:rsidR="00397EBB" w:rsidRPr="006D6E4A">
        <w:t xml:space="preserve">to </w:t>
      </w:r>
      <w:r w:rsidRPr="006D6E4A">
        <w:t>implement the activities listed therein.</w:t>
      </w:r>
      <w:r w:rsidR="008C6717" w:rsidRPr="006D6E4A">
        <w:t xml:space="preserve"> Cooperation with</w:t>
      </w:r>
      <w:r w:rsidR="00B54B31" w:rsidRPr="006D6E4A">
        <w:t xml:space="preserve"> ICLEI </w:t>
      </w:r>
      <w:r w:rsidR="008C6717" w:rsidRPr="006D6E4A">
        <w:t>will also include the Transformative Action A</w:t>
      </w:r>
      <w:r w:rsidR="00B54B31" w:rsidRPr="006D6E4A">
        <w:t>ward</w:t>
      </w:r>
      <w:r w:rsidR="008C6717" w:rsidRPr="006D6E4A">
        <w:t xml:space="preserve">, to be developed on the basis of </w:t>
      </w:r>
      <w:r w:rsidR="00B06796" w:rsidRPr="006D6E4A">
        <w:t xml:space="preserve">the </w:t>
      </w:r>
      <w:r w:rsidR="008C6717" w:rsidRPr="006D6E4A">
        <w:t>first joint session held during the ENVE Commission meeting in Brussels on 22 November 2017.</w:t>
      </w:r>
    </w:p>
    <w:p w:rsidR="008C6717" w:rsidRPr="006D6E4A" w:rsidRDefault="008C6717" w:rsidP="00BC283C">
      <w:pPr>
        <w:overflowPunct/>
        <w:adjustRightInd/>
        <w:textAlignment w:val="auto"/>
      </w:pPr>
    </w:p>
    <w:p w:rsidR="00E54FDB" w:rsidRPr="006D6E4A" w:rsidRDefault="00E54FDB" w:rsidP="00BC283C">
      <w:pPr>
        <w:overflowPunct/>
        <w:adjustRightInd/>
        <w:textAlignment w:val="auto"/>
      </w:pPr>
    </w:p>
    <w:p w:rsidR="008C6717" w:rsidRPr="006D6E4A" w:rsidRDefault="00C2048A" w:rsidP="00BC283C">
      <w:pPr>
        <w:overflowPunct/>
        <w:adjustRightInd/>
        <w:textAlignment w:val="auto"/>
      </w:pPr>
      <w:r w:rsidRPr="006D6E4A">
        <w:t>Cooperation</w:t>
      </w:r>
      <w:r w:rsidR="00145BBF" w:rsidRPr="006D6E4A">
        <w:t xml:space="preserve"> </w:t>
      </w:r>
      <w:r w:rsidR="008C6717" w:rsidRPr="006D6E4A">
        <w:t xml:space="preserve">with the United Nations Environmental </w:t>
      </w:r>
      <w:proofErr w:type="gramStart"/>
      <w:r w:rsidR="008C6717" w:rsidRPr="006D6E4A">
        <w:t>Programme</w:t>
      </w:r>
      <w:r w:rsidR="00145BBF" w:rsidRPr="006D6E4A">
        <w:t xml:space="preserve"> </w:t>
      </w:r>
      <w:r w:rsidR="00913DA1" w:rsidRPr="006D6E4A">
        <w:t xml:space="preserve"> will</w:t>
      </w:r>
      <w:proofErr w:type="gramEnd"/>
      <w:r w:rsidR="00913DA1" w:rsidRPr="006D6E4A">
        <w:t xml:space="preserve"> be developed in the area of biodiversity protection, as stated above.</w:t>
      </w:r>
    </w:p>
    <w:p w:rsidR="00913DA1" w:rsidRPr="006D6E4A" w:rsidRDefault="00913DA1" w:rsidP="00BC283C">
      <w:pPr>
        <w:overflowPunct/>
        <w:adjustRightInd/>
        <w:textAlignment w:val="auto"/>
      </w:pPr>
    </w:p>
    <w:p w:rsidR="00913DA1" w:rsidRPr="006D6E4A" w:rsidRDefault="00494FF7" w:rsidP="00BC283C">
      <w:pPr>
        <w:overflowPunct/>
        <w:adjustRightInd/>
        <w:textAlignment w:val="auto"/>
      </w:pPr>
      <w:r w:rsidRPr="006D6E4A">
        <w:t xml:space="preserve">Building on close cooperation </w:t>
      </w:r>
      <w:r w:rsidR="00913DA1" w:rsidRPr="006D6E4A">
        <w:t xml:space="preserve">on </w:t>
      </w:r>
      <w:proofErr w:type="gramStart"/>
      <w:r w:rsidRPr="006D6E4A">
        <w:t xml:space="preserve">the </w:t>
      </w:r>
      <w:r w:rsidR="00913DA1" w:rsidRPr="006D6E4A">
        <w:t xml:space="preserve"> EU</w:t>
      </w:r>
      <w:proofErr w:type="gramEnd"/>
      <w:r w:rsidR="00913DA1" w:rsidRPr="006D6E4A">
        <w:t xml:space="preserve"> Strategy for Space, and </w:t>
      </w:r>
      <w:r w:rsidRPr="006D6E4A">
        <w:t xml:space="preserve">the participation of </w:t>
      </w:r>
      <w:r w:rsidR="00913DA1" w:rsidRPr="006D6E4A">
        <w:t xml:space="preserve">the CoR representatives in the European Space Week in Estonia in November 2017, the ENVE Commission will look into possibilities for </w:t>
      </w:r>
      <w:proofErr w:type="spellStart"/>
      <w:r w:rsidR="00913DA1" w:rsidRPr="006D6E4A">
        <w:t>organisinga</w:t>
      </w:r>
      <w:proofErr w:type="spellEnd"/>
      <w:r w:rsidR="00913DA1" w:rsidRPr="006D6E4A">
        <w:t xml:space="preserve"> joint specialised event on the EU space policy and the role of local and regional authorities</w:t>
      </w:r>
      <w:r w:rsidR="0038356D" w:rsidRPr="006D6E4A">
        <w:t>, together with the European Space Agency</w:t>
      </w:r>
      <w:r w:rsidR="00913DA1" w:rsidRPr="006D6E4A">
        <w:t>.</w:t>
      </w:r>
    </w:p>
    <w:p w:rsidR="00494FF7" w:rsidRPr="006D6E4A" w:rsidRDefault="00494FF7" w:rsidP="00BC283C">
      <w:pPr>
        <w:overflowPunct/>
        <w:adjustRightInd/>
        <w:textAlignment w:val="auto"/>
      </w:pPr>
    </w:p>
    <w:p w:rsidR="00E54FDB" w:rsidRPr="006D6E4A" w:rsidRDefault="0038356D" w:rsidP="00BC283C">
      <w:pPr>
        <w:overflowPunct/>
        <w:adjustRightInd/>
        <w:textAlignment w:val="auto"/>
      </w:pPr>
      <w:r w:rsidRPr="006D6E4A">
        <w:t xml:space="preserve">Cooperation </w:t>
      </w:r>
      <w:r w:rsidR="00913DA1" w:rsidRPr="006D6E4A">
        <w:t>with the NEREUS network</w:t>
      </w:r>
      <w:r w:rsidRPr="006D6E4A">
        <w:t xml:space="preserve"> will be continued in 2018. </w:t>
      </w:r>
      <w:r w:rsidR="00E54FDB" w:rsidRPr="006D6E4A">
        <w:t xml:space="preserve">The ENVE Commission will </w:t>
      </w:r>
      <w:r w:rsidR="00C2048A" w:rsidRPr="006D6E4A">
        <w:t xml:space="preserve">also </w:t>
      </w:r>
      <w:r w:rsidR="00E54FDB" w:rsidRPr="006D6E4A">
        <w:t xml:space="preserve">work closely with other relevant European and national associations of regional and local governments and will encourage the exchange of information in areas of common interest. Existing cooperation and contacts, in particular with the Covenant of Mayors for Climate and Energy Office and the Global Covenant of Mayors Secretariat, </w:t>
      </w:r>
      <w:proofErr w:type="spellStart"/>
      <w:r w:rsidR="00E54FDB" w:rsidRPr="006D6E4A">
        <w:t>Eurocities</w:t>
      </w:r>
      <w:proofErr w:type="spellEnd"/>
      <w:r w:rsidR="00E54FDB" w:rsidRPr="006D6E4A">
        <w:t xml:space="preserve">, CEMR, and European associations </w:t>
      </w:r>
      <w:r w:rsidR="00E068F8" w:rsidRPr="006D6E4A">
        <w:t xml:space="preserve">specialising </w:t>
      </w:r>
      <w:r w:rsidR="00E54FDB" w:rsidRPr="006D6E4A">
        <w:t>in the field of sustainable development, energy and climate change such as nrg4SD, UCLG, R20, the Climate Group, FEDARENE, ACR+, Municipal Waste Europe, ENCORE</w:t>
      </w:r>
      <w:r w:rsidR="00C2048A" w:rsidRPr="006D6E4A">
        <w:t>, as well as with international centres of expertise, European think-tanks</w:t>
      </w:r>
      <w:r w:rsidR="005E59BA" w:rsidRPr="006D6E4A">
        <w:t>,</w:t>
      </w:r>
      <w:r w:rsidR="00C2048A" w:rsidRPr="006D6E4A">
        <w:t xml:space="preserve"> NGOs</w:t>
      </w:r>
      <w:r w:rsidR="005E59BA" w:rsidRPr="006D6E4A">
        <w:t>,</w:t>
      </w:r>
      <w:r w:rsidR="00E54FDB" w:rsidRPr="006D6E4A">
        <w:t xml:space="preserve"> and others will be</w:t>
      </w:r>
      <w:r w:rsidR="005E59BA" w:rsidRPr="006D6E4A">
        <w:t xml:space="preserve"> </w:t>
      </w:r>
      <w:r w:rsidR="00C2048A" w:rsidRPr="006D6E4A">
        <w:t>continued to ensure relevant information for consultative work.</w:t>
      </w:r>
    </w:p>
    <w:p w:rsidR="00BD7F91" w:rsidRPr="006D6E4A" w:rsidRDefault="00BD7F91" w:rsidP="00BC283C">
      <w:pPr>
        <w:overflowPunct/>
        <w:adjustRightInd/>
        <w:textAlignment w:val="auto"/>
      </w:pPr>
    </w:p>
    <w:p w:rsidR="00BD7F91" w:rsidRPr="006D6E4A" w:rsidRDefault="00250193" w:rsidP="00840188">
      <w:pPr>
        <w:keepNext/>
        <w:keepLines/>
        <w:numPr>
          <w:ilvl w:val="0"/>
          <w:numId w:val="1"/>
        </w:numPr>
        <w:overflowPunct/>
        <w:adjustRightInd/>
        <w:ind w:left="567" w:hanging="567"/>
        <w:textAlignment w:val="auto"/>
        <w:outlineLvl w:val="0"/>
        <w:rPr>
          <w:b/>
        </w:rPr>
      </w:pPr>
      <w:r w:rsidRPr="006D6E4A">
        <w:rPr>
          <w:b/>
        </w:rPr>
        <w:t>Complementary activities</w:t>
      </w:r>
    </w:p>
    <w:p w:rsidR="00BD7F91" w:rsidRPr="006D6E4A" w:rsidRDefault="00BD7F91" w:rsidP="00BC283C">
      <w:pPr>
        <w:keepNext/>
        <w:keepLines/>
        <w:overflowPunct/>
        <w:adjustRightInd/>
        <w:textAlignment w:val="auto"/>
      </w:pPr>
    </w:p>
    <w:p w:rsidR="006873F3" w:rsidRPr="006D6E4A" w:rsidRDefault="006C48B8" w:rsidP="00BC283C">
      <w:pPr>
        <w:overflowPunct/>
        <w:adjustRightInd/>
        <w:textAlignment w:val="auto"/>
      </w:pPr>
      <w:r w:rsidRPr="006D6E4A">
        <w:t xml:space="preserve">The ENVE Commission will hold an external ENVE Commission meeting together with a thematic conference, </w:t>
      </w:r>
      <w:r w:rsidR="006873F3" w:rsidRPr="006D6E4A">
        <w:t xml:space="preserve">on </w:t>
      </w:r>
      <w:r w:rsidRPr="006D6E4A">
        <w:t>2018. The subject of the conference would be</w:t>
      </w:r>
      <w:proofErr w:type="gramStart"/>
      <w:r w:rsidRPr="006D6E4A">
        <w:t>:</w:t>
      </w:r>
      <w:r w:rsidR="00EC357B" w:rsidRPr="006D6E4A">
        <w:t>.</w:t>
      </w:r>
      <w:proofErr w:type="gramEnd"/>
      <w:r w:rsidR="00EC357B" w:rsidRPr="006D6E4A">
        <w:t xml:space="preserve"> </w:t>
      </w:r>
    </w:p>
    <w:p w:rsidR="006873F3" w:rsidRPr="006D6E4A" w:rsidRDefault="006873F3" w:rsidP="00BC283C">
      <w:pPr>
        <w:overflowPunct/>
        <w:adjustRightInd/>
        <w:textAlignment w:val="auto"/>
      </w:pPr>
    </w:p>
    <w:p w:rsidR="00274376" w:rsidRPr="006D6E4A" w:rsidRDefault="006873F3" w:rsidP="00BC283C">
      <w:pPr>
        <w:overflowPunct/>
        <w:adjustRightInd/>
        <w:textAlignment w:val="auto"/>
      </w:pPr>
      <w:r w:rsidRPr="006D6E4A">
        <w:t xml:space="preserve">Moreover, </w:t>
      </w:r>
      <w:r w:rsidR="000435B4" w:rsidRPr="006D6E4A">
        <w:t>a study visits</w:t>
      </w:r>
      <w:r w:rsidR="006C48B8" w:rsidRPr="006D6E4A">
        <w:t xml:space="preserve"> </w:t>
      </w:r>
      <w:r w:rsidR="00EC357B" w:rsidRPr="006D6E4A">
        <w:t xml:space="preserve">to the Netherlands </w:t>
      </w:r>
      <w:r w:rsidR="006C48B8" w:rsidRPr="006D6E4A">
        <w:t>for 12 members on the subject: 'Nijmegen: Front-runner in a green movement. Study visit, European Green Capital 2018</w:t>
      </w:r>
      <w:r w:rsidR="00EC357B" w:rsidRPr="006D6E4A">
        <w:t>' will be organised in the course of 2018.</w:t>
      </w:r>
    </w:p>
    <w:p w:rsidR="00274376" w:rsidRPr="006D6E4A" w:rsidRDefault="00274376" w:rsidP="00BC283C">
      <w:pPr>
        <w:overflowPunct/>
        <w:adjustRightInd/>
        <w:textAlignment w:val="auto"/>
      </w:pPr>
    </w:p>
    <w:p w:rsidR="00BD7F91" w:rsidRPr="006D6E4A" w:rsidRDefault="00BD7F91" w:rsidP="00BC283C">
      <w:pPr>
        <w:overflowPunct/>
        <w:adjustRightInd/>
        <w:textAlignment w:val="auto"/>
      </w:pPr>
    </w:p>
    <w:p w:rsidR="00263CC1" w:rsidRPr="006D6E4A" w:rsidRDefault="00263CC1" w:rsidP="00BC283C">
      <w:pPr>
        <w:overflowPunct/>
        <w:adjustRightInd/>
        <w:textAlignment w:val="auto"/>
      </w:pPr>
    </w:p>
    <w:p w:rsidR="00BD7F91" w:rsidRPr="006D6E4A" w:rsidRDefault="00BD7F91" w:rsidP="00BC283C">
      <w:pPr>
        <w:overflowPunct/>
        <w:adjustRightInd/>
        <w:jc w:val="center"/>
        <w:textAlignment w:val="auto"/>
      </w:pPr>
      <w:r w:rsidRPr="006D6E4A">
        <w:t>*</w:t>
      </w:r>
    </w:p>
    <w:p w:rsidR="00D406D7" w:rsidRPr="006D6E4A" w:rsidRDefault="00BD7F91" w:rsidP="00BC283C">
      <w:pPr>
        <w:overflowPunct/>
        <w:adjustRightInd/>
        <w:jc w:val="center"/>
        <w:textAlignment w:val="auto"/>
      </w:pPr>
      <w:r w:rsidRPr="006D6E4A">
        <w:t>*</w:t>
      </w:r>
      <w:r w:rsidR="00145BBF" w:rsidRPr="006D6E4A">
        <w:tab/>
      </w:r>
      <w:r w:rsidRPr="006D6E4A">
        <w:t>*</w:t>
      </w:r>
    </w:p>
    <w:p w:rsidR="00D406D7" w:rsidRPr="006D6E4A" w:rsidRDefault="00D406D7" w:rsidP="00BC283C">
      <w:pPr>
        <w:overflowPunct/>
        <w:adjustRightInd/>
        <w:jc w:val="center"/>
        <w:textAlignment w:val="auto"/>
      </w:pPr>
    </w:p>
    <w:p w:rsidR="00263CC1" w:rsidRPr="006D6E4A" w:rsidRDefault="00BD7F91" w:rsidP="00BC283C">
      <w:pPr>
        <w:overflowPunct/>
        <w:adjustRightInd/>
        <w:textAlignment w:val="auto"/>
      </w:pPr>
      <w:r w:rsidRPr="006D6E4A">
        <w:rPr>
          <w:b/>
        </w:rPr>
        <w:t>N.B.:</w:t>
      </w:r>
      <w:r w:rsidR="008C4BA5" w:rsidRPr="006D6E4A">
        <w:t xml:space="preserve"> </w:t>
      </w:r>
      <w:r w:rsidR="00722A32" w:rsidRPr="006D6E4A">
        <w:t xml:space="preserve">Annex and </w:t>
      </w:r>
      <w:r w:rsidR="008C4BA5" w:rsidRPr="006D6E4A">
        <w:t>Appendices overleaf</w:t>
      </w:r>
    </w:p>
    <w:p w:rsidR="00263CC1" w:rsidRPr="006D6E4A" w:rsidRDefault="00263CC1" w:rsidP="00BC283C">
      <w:pPr>
        <w:overflowPunct/>
        <w:adjustRightInd/>
        <w:textAlignment w:val="auto"/>
      </w:pPr>
    </w:p>
    <w:p w:rsidR="00263CC1" w:rsidRPr="006D6E4A" w:rsidRDefault="00263CC1" w:rsidP="00BC283C">
      <w:pPr>
        <w:overflowPunct/>
        <w:adjustRightInd/>
        <w:textAlignment w:val="auto"/>
      </w:pPr>
    </w:p>
    <w:p w:rsidR="00263CC1" w:rsidRPr="006D6E4A" w:rsidRDefault="00263CC1" w:rsidP="00BC283C">
      <w:pPr>
        <w:overflowPunct/>
        <w:adjustRightInd/>
        <w:textAlignment w:val="auto"/>
      </w:pPr>
    </w:p>
    <w:p w:rsidR="00722A32" w:rsidRPr="006D6E4A" w:rsidRDefault="00722A32" w:rsidP="00BC283C">
      <w:pPr>
        <w:overflowPunct/>
        <w:adjustRightInd/>
        <w:textAlignment w:val="auto"/>
      </w:pPr>
      <w:r w:rsidRPr="006D6E4A">
        <w:br w:type="page"/>
      </w:r>
    </w:p>
    <w:p w:rsidR="00BD7F91" w:rsidRPr="006D6E4A" w:rsidRDefault="00BD7F91" w:rsidP="00BC283C">
      <w:pPr>
        <w:overflowPunct/>
        <w:adjustRightInd/>
        <w:jc w:val="center"/>
        <w:textAlignment w:val="auto"/>
        <w:rPr>
          <w:b/>
        </w:rPr>
      </w:pPr>
      <w:r w:rsidRPr="006D6E4A">
        <w:rPr>
          <w:b/>
        </w:rPr>
        <w:lastRenderedPageBreak/>
        <w:t>APPENDIX I</w:t>
      </w:r>
    </w:p>
    <w:p w:rsidR="00BD7F91" w:rsidRPr="006D6E4A" w:rsidRDefault="00BD7F91" w:rsidP="00BC283C">
      <w:pPr>
        <w:overflowPunct/>
        <w:adjustRightInd/>
        <w:jc w:val="center"/>
        <w:textAlignment w:val="auto"/>
        <w:rPr>
          <w:b/>
        </w:rPr>
      </w:pPr>
    </w:p>
    <w:p w:rsidR="00BD7F91" w:rsidRPr="006D6E4A" w:rsidRDefault="00BD7F91" w:rsidP="00BC283C">
      <w:pPr>
        <w:overflowPunct/>
        <w:adjustRightInd/>
        <w:jc w:val="center"/>
        <w:textAlignment w:val="auto"/>
        <w:rPr>
          <w:b/>
        </w:rPr>
      </w:pPr>
      <w:r w:rsidRPr="006D6E4A">
        <w:rPr>
          <w:b/>
        </w:rPr>
        <w:t xml:space="preserve">List of documents already attributed to the </w:t>
      </w:r>
      <w:r w:rsidR="006C48B8" w:rsidRPr="006D6E4A">
        <w:rPr>
          <w:b/>
        </w:rPr>
        <w:t>ENVE</w:t>
      </w:r>
      <w:r w:rsidR="00250193" w:rsidRPr="006D6E4A">
        <w:rPr>
          <w:b/>
        </w:rPr>
        <w:t xml:space="preserve"> C</w:t>
      </w:r>
      <w:r w:rsidRPr="006D6E4A">
        <w:rPr>
          <w:b/>
        </w:rPr>
        <w:t>om</w:t>
      </w:r>
      <w:r w:rsidR="005205F6" w:rsidRPr="006D6E4A">
        <w:rPr>
          <w:b/>
        </w:rPr>
        <w:t>mission to be dealt with in 2018</w:t>
      </w:r>
    </w:p>
    <w:p w:rsidR="00BD7F91" w:rsidRPr="006D6E4A" w:rsidRDefault="00BD7F91" w:rsidP="00BC283C">
      <w:pPr>
        <w:overflowPunct/>
        <w:adjustRightInd/>
        <w:jc w:val="center"/>
        <w:textAlignment w:val="auto"/>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3045"/>
        <w:gridCol w:w="2240"/>
        <w:gridCol w:w="1437"/>
      </w:tblGrid>
      <w:tr w:rsidR="00BD7F91" w:rsidRPr="006D6E4A" w:rsidTr="00B54B31">
        <w:tc>
          <w:tcPr>
            <w:tcW w:w="2413" w:type="dxa"/>
          </w:tcPr>
          <w:p w:rsidR="00BD7F91" w:rsidRPr="006D6E4A" w:rsidRDefault="00BD7F91" w:rsidP="00BC283C">
            <w:pPr>
              <w:overflowPunct/>
              <w:adjustRightInd/>
              <w:jc w:val="center"/>
              <w:textAlignment w:val="auto"/>
              <w:rPr>
                <w:b/>
                <w:bCs/>
                <w:szCs w:val="22"/>
              </w:rPr>
            </w:pPr>
            <w:r w:rsidRPr="006D6E4A">
              <w:rPr>
                <w:b/>
              </w:rPr>
              <w:t>Reference of European Commission document</w:t>
            </w:r>
          </w:p>
        </w:tc>
        <w:tc>
          <w:tcPr>
            <w:tcW w:w="3045" w:type="dxa"/>
          </w:tcPr>
          <w:p w:rsidR="00BD7F91" w:rsidRPr="006D6E4A" w:rsidRDefault="00BD7F91" w:rsidP="00BC283C">
            <w:pPr>
              <w:overflowPunct/>
              <w:adjustRightInd/>
              <w:jc w:val="center"/>
              <w:textAlignment w:val="auto"/>
              <w:rPr>
                <w:b/>
                <w:bCs/>
                <w:szCs w:val="22"/>
              </w:rPr>
            </w:pPr>
            <w:r w:rsidRPr="006D6E4A">
              <w:rPr>
                <w:b/>
              </w:rPr>
              <w:t>Title of European Commission document</w:t>
            </w:r>
          </w:p>
        </w:tc>
        <w:tc>
          <w:tcPr>
            <w:tcW w:w="2240" w:type="dxa"/>
          </w:tcPr>
          <w:p w:rsidR="00BD7F91" w:rsidRPr="006D6E4A" w:rsidRDefault="00BD7F91" w:rsidP="00BC283C">
            <w:pPr>
              <w:overflowPunct/>
              <w:adjustRightInd/>
              <w:jc w:val="center"/>
              <w:textAlignment w:val="auto"/>
              <w:rPr>
                <w:b/>
                <w:bCs/>
                <w:szCs w:val="22"/>
              </w:rPr>
            </w:pPr>
            <w:r w:rsidRPr="006D6E4A">
              <w:rPr>
                <w:b/>
              </w:rPr>
              <w:t>Procedure</w:t>
            </w:r>
          </w:p>
        </w:tc>
        <w:tc>
          <w:tcPr>
            <w:tcW w:w="1437" w:type="dxa"/>
          </w:tcPr>
          <w:p w:rsidR="00BD7F91" w:rsidRPr="006D6E4A" w:rsidRDefault="00BD7F91" w:rsidP="00BC283C">
            <w:pPr>
              <w:overflowPunct/>
              <w:adjustRightInd/>
              <w:jc w:val="center"/>
              <w:textAlignment w:val="auto"/>
              <w:rPr>
                <w:b/>
                <w:bCs/>
                <w:szCs w:val="22"/>
              </w:rPr>
            </w:pPr>
            <w:r w:rsidRPr="006D6E4A">
              <w:rPr>
                <w:b/>
              </w:rPr>
              <w:t>Scheduled adoption by the CoR</w:t>
            </w:r>
          </w:p>
        </w:tc>
      </w:tr>
      <w:tr w:rsidR="00C37757" w:rsidRPr="006D6E4A" w:rsidTr="003E575F">
        <w:tc>
          <w:tcPr>
            <w:tcW w:w="9135" w:type="dxa"/>
            <w:gridSpan w:val="4"/>
          </w:tcPr>
          <w:p w:rsidR="00C37757" w:rsidRPr="006D6E4A" w:rsidRDefault="00C37757" w:rsidP="00BC283C">
            <w:pPr>
              <w:overflowPunct/>
              <w:adjustRightInd/>
              <w:jc w:val="left"/>
              <w:textAlignment w:val="auto"/>
              <w:rPr>
                <w:b/>
                <w:i/>
                <w:szCs w:val="22"/>
              </w:rPr>
            </w:pPr>
            <w:r w:rsidRPr="006D6E4A">
              <w:rPr>
                <w:b/>
                <w:i/>
              </w:rPr>
              <w:t>Space policy</w:t>
            </w:r>
          </w:p>
        </w:tc>
      </w:tr>
      <w:tr w:rsidR="00BD7F91" w:rsidRPr="006D6E4A" w:rsidDel="00424008" w:rsidTr="00B54B31">
        <w:tc>
          <w:tcPr>
            <w:tcW w:w="2413" w:type="dxa"/>
          </w:tcPr>
          <w:p w:rsidR="00E42B0B" w:rsidRPr="006D6E4A" w:rsidDel="00424008" w:rsidRDefault="00E42B0B" w:rsidP="00BC283C">
            <w:pPr>
              <w:overflowPunct/>
              <w:adjustRightInd/>
              <w:jc w:val="left"/>
              <w:textAlignment w:val="auto"/>
              <w:rPr>
                <w:szCs w:val="22"/>
              </w:rPr>
            </w:pPr>
            <w:r w:rsidRPr="006D6E4A">
              <w:t>COM (2017) 617 - final</w:t>
            </w:r>
          </w:p>
        </w:tc>
        <w:tc>
          <w:tcPr>
            <w:tcW w:w="3045" w:type="dxa"/>
          </w:tcPr>
          <w:p w:rsidR="00E42B0B" w:rsidRPr="006D6E4A" w:rsidDel="00424008" w:rsidRDefault="00E42B0B" w:rsidP="00BC283C">
            <w:pPr>
              <w:overflowPunct/>
              <w:adjustRightInd/>
              <w:jc w:val="left"/>
              <w:textAlignment w:val="auto"/>
              <w:rPr>
                <w:szCs w:val="22"/>
              </w:rPr>
            </w:pPr>
            <w:r w:rsidRPr="006D6E4A">
              <w:t>Report from the Commission to the European Parliament, the Council, the European Economic and Social Committee and the Committee of the Regions Mid-term evaluation of the Copernicus programme (2014-2020)</w:t>
            </w:r>
          </w:p>
        </w:tc>
        <w:tc>
          <w:tcPr>
            <w:tcW w:w="2240" w:type="dxa"/>
          </w:tcPr>
          <w:p w:rsidR="00BD7F91" w:rsidRPr="006D6E4A" w:rsidDel="00424008" w:rsidRDefault="00E42B0B" w:rsidP="00BC283C">
            <w:pPr>
              <w:overflowPunct/>
              <w:adjustRightInd/>
              <w:jc w:val="left"/>
              <w:textAlignment w:val="auto"/>
              <w:rPr>
                <w:rFonts w:eastAsia="PMingLiU"/>
                <w:szCs w:val="22"/>
                <w:lang w:eastAsia="zh-TW"/>
              </w:rPr>
            </w:pPr>
            <w:r w:rsidRPr="006D6E4A">
              <w:t xml:space="preserve"> Non –legislative proposal</w:t>
            </w:r>
          </w:p>
        </w:tc>
        <w:tc>
          <w:tcPr>
            <w:tcW w:w="1437" w:type="dxa"/>
          </w:tcPr>
          <w:p w:rsidR="00BD7F91" w:rsidRPr="006D6E4A" w:rsidDel="00424008" w:rsidRDefault="00E42B0B" w:rsidP="00BC283C">
            <w:pPr>
              <w:overflowPunct/>
              <w:adjustRightInd/>
              <w:jc w:val="left"/>
              <w:textAlignment w:val="auto"/>
              <w:rPr>
                <w:szCs w:val="22"/>
              </w:rPr>
            </w:pPr>
            <w:r w:rsidRPr="006D6E4A">
              <w:t>tbc</w:t>
            </w:r>
          </w:p>
        </w:tc>
      </w:tr>
      <w:tr w:rsidR="00C37757" w:rsidRPr="006D6E4A" w:rsidDel="00424008" w:rsidTr="008635B5">
        <w:tc>
          <w:tcPr>
            <w:tcW w:w="9135" w:type="dxa"/>
            <w:gridSpan w:val="4"/>
          </w:tcPr>
          <w:p w:rsidR="00C37757" w:rsidRPr="006D6E4A" w:rsidRDefault="00C37757" w:rsidP="00BC283C">
            <w:pPr>
              <w:overflowPunct/>
              <w:adjustRightInd/>
              <w:jc w:val="left"/>
              <w:textAlignment w:val="auto"/>
              <w:rPr>
                <w:szCs w:val="22"/>
              </w:rPr>
            </w:pPr>
            <w:r w:rsidRPr="006D6E4A">
              <w:rPr>
                <w:b/>
                <w:i/>
              </w:rPr>
              <w:t>Environmental policy</w:t>
            </w:r>
          </w:p>
        </w:tc>
      </w:tr>
      <w:tr w:rsidR="00C37757" w:rsidRPr="006D6E4A" w:rsidDel="00424008" w:rsidTr="00B54B31">
        <w:tc>
          <w:tcPr>
            <w:tcW w:w="2413" w:type="dxa"/>
          </w:tcPr>
          <w:p w:rsidR="00C37757" w:rsidRPr="006D6E4A" w:rsidRDefault="00C37757" w:rsidP="00BC283C">
            <w:pPr>
              <w:overflowPunct/>
              <w:adjustRightInd/>
              <w:jc w:val="left"/>
              <w:textAlignment w:val="auto"/>
              <w:rPr>
                <w:szCs w:val="22"/>
              </w:rPr>
            </w:pPr>
            <w:r w:rsidRPr="006D6E4A">
              <w:t>n/a</w:t>
            </w:r>
          </w:p>
        </w:tc>
        <w:tc>
          <w:tcPr>
            <w:tcW w:w="3045" w:type="dxa"/>
          </w:tcPr>
          <w:p w:rsidR="00C37757" w:rsidRPr="006D6E4A" w:rsidRDefault="00C37757" w:rsidP="00BC283C">
            <w:pPr>
              <w:overflowPunct/>
              <w:adjustRightInd/>
              <w:jc w:val="left"/>
              <w:textAlignment w:val="auto"/>
              <w:rPr>
                <w:szCs w:val="22"/>
              </w:rPr>
            </w:pPr>
            <w:r w:rsidRPr="006D6E4A">
              <w:t>n/a</w:t>
            </w:r>
          </w:p>
        </w:tc>
        <w:tc>
          <w:tcPr>
            <w:tcW w:w="2240" w:type="dxa"/>
          </w:tcPr>
          <w:p w:rsidR="00C37757" w:rsidRPr="006D6E4A" w:rsidRDefault="00C37757" w:rsidP="00BC283C">
            <w:pPr>
              <w:overflowPunct/>
              <w:adjustRightInd/>
              <w:jc w:val="left"/>
              <w:textAlignment w:val="auto"/>
            </w:pPr>
            <w:r w:rsidRPr="006D6E4A">
              <w:t xml:space="preserve">Own-initiative opinion </w:t>
            </w:r>
            <w:r w:rsidR="001128C0" w:rsidRPr="006D6E4A">
              <w:t xml:space="preserve">- </w:t>
            </w:r>
            <w:r w:rsidRPr="006D6E4A">
              <w:t>Promoting coexistence with conflict species within the framework of the EU Nature Directives</w:t>
            </w:r>
          </w:p>
          <w:p w:rsidR="00C37757" w:rsidRPr="006D6E4A" w:rsidRDefault="00C37757" w:rsidP="00BC283C">
            <w:pPr>
              <w:overflowPunct/>
              <w:adjustRightInd/>
              <w:jc w:val="left"/>
              <w:textAlignment w:val="auto"/>
              <w:rPr>
                <w:szCs w:val="22"/>
              </w:rPr>
            </w:pPr>
          </w:p>
        </w:tc>
        <w:tc>
          <w:tcPr>
            <w:tcW w:w="1437" w:type="dxa"/>
          </w:tcPr>
          <w:p w:rsidR="00C37757" w:rsidRPr="006D6E4A" w:rsidRDefault="00C37757" w:rsidP="00BC283C">
            <w:pPr>
              <w:overflowPunct/>
              <w:adjustRightInd/>
              <w:jc w:val="left"/>
              <w:textAlignment w:val="auto"/>
              <w:rPr>
                <w:szCs w:val="22"/>
              </w:rPr>
            </w:pPr>
            <w:r w:rsidRPr="006D6E4A">
              <w:t>January-February 2018</w:t>
            </w:r>
          </w:p>
        </w:tc>
      </w:tr>
      <w:tr w:rsidR="00C37757" w:rsidRPr="006D6E4A" w:rsidDel="00424008" w:rsidTr="000C1B55">
        <w:tc>
          <w:tcPr>
            <w:tcW w:w="9135" w:type="dxa"/>
            <w:gridSpan w:val="4"/>
          </w:tcPr>
          <w:p w:rsidR="00C37757" w:rsidRPr="006D6E4A" w:rsidRDefault="00C37757" w:rsidP="00BC283C">
            <w:pPr>
              <w:overflowPunct/>
              <w:adjustRightInd/>
              <w:jc w:val="left"/>
              <w:textAlignment w:val="auto"/>
              <w:rPr>
                <w:b/>
                <w:i/>
                <w:szCs w:val="22"/>
              </w:rPr>
            </w:pPr>
            <w:r w:rsidRPr="006D6E4A">
              <w:rPr>
                <w:b/>
                <w:i/>
              </w:rPr>
              <w:t>Climate change</w:t>
            </w:r>
          </w:p>
        </w:tc>
      </w:tr>
      <w:tr w:rsidR="00E42B0B" w:rsidRPr="006D6E4A" w:rsidDel="00424008" w:rsidTr="00B54B31">
        <w:tc>
          <w:tcPr>
            <w:tcW w:w="2413" w:type="dxa"/>
          </w:tcPr>
          <w:p w:rsidR="00E42B0B" w:rsidRPr="006D6E4A" w:rsidRDefault="00E42B0B" w:rsidP="00BC283C">
            <w:pPr>
              <w:overflowPunct/>
              <w:adjustRightInd/>
              <w:jc w:val="left"/>
              <w:textAlignment w:val="auto"/>
              <w:rPr>
                <w:szCs w:val="22"/>
              </w:rPr>
            </w:pPr>
            <w:r w:rsidRPr="006D6E4A">
              <w:t>n/a</w:t>
            </w:r>
          </w:p>
        </w:tc>
        <w:tc>
          <w:tcPr>
            <w:tcW w:w="3045" w:type="dxa"/>
          </w:tcPr>
          <w:p w:rsidR="00E42B0B" w:rsidRPr="006D6E4A" w:rsidRDefault="00E42B0B" w:rsidP="00BC283C">
            <w:pPr>
              <w:overflowPunct/>
              <w:adjustRightInd/>
              <w:jc w:val="left"/>
              <w:textAlignment w:val="auto"/>
              <w:rPr>
                <w:szCs w:val="22"/>
              </w:rPr>
            </w:pPr>
            <w:r w:rsidRPr="006D6E4A">
              <w:t>n/a</w:t>
            </w:r>
          </w:p>
        </w:tc>
        <w:tc>
          <w:tcPr>
            <w:tcW w:w="2240" w:type="dxa"/>
          </w:tcPr>
          <w:p w:rsidR="006D4AF3" w:rsidRPr="006D6E4A" w:rsidRDefault="006D4AF3" w:rsidP="00BC283C">
            <w:pPr>
              <w:overflowPunct/>
              <w:adjustRightInd/>
              <w:jc w:val="left"/>
              <w:textAlignment w:val="auto"/>
            </w:pPr>
            <w:r w:rsidRPr="006D6E4A">
              <w:t xml:space="preserve">Possible action (tbc): </w:t>
            </w:r>
          </w:p>
          <w:p w:rsidR="00E42B0B" w:rsidRPr="006D6E4A" w:rsidRDefault="00E42B0B" w:rsidP="00BC283C">
            <w:pPr>
              <w:overflowPunct/>
              <w:adjustRightInd/>
              <w:jc w:val="left"/>
              <w:textAlignment w:val="auto"/>
            </w:pPr>
            <w:r w:rsidRPr="006D6E4A">
              <w:t>Own-initiative opinion</w:t>
            </w:r>
            <w:r w:rsidR="002D6617" w:rsidRPr="006D6E4A">
              <w:t xml:space="preserve"> </w:t>
            </w:r>
            <w:r w:rsidR="006D4AF3" w:rsidRPr="006D6E4A">
              <w:t>/ Resolution:</w:t>
            </w:r>
          </w:p>
          <w:p w:rsidR="00E42B0B" w:rsidRPr="006D6E4A" w:rsidRDefault="00E42B0B" w:rsidP="00BC283C">
            <w:pPr>
              <w:overflowPunct/>
              <w:adjustRightInd/>
              <w:jc w:val="left"/>
              <w:textAlignment w:val="auto"/>
              <w:rPr>
                <w:szCs w:val="22"/>
              </w:rPr>
            </w:pPr>
            <w:r w:rsidRPr="006D6E4A">
              <w:t>Towards the Katowice UNFCCC COP24: the Paris Agreement three years on</w:t>
            </w:r>
          </w:p>
        </w:tc>
        <w:tc>
          <w:tcPr>
            <w:tcW w:w="1437" w:type="dxa"/>
          </w:tcPr>
          <w:p w:rsidR="00E42B0B" w:rsidRPr="006D6E4A" w:rsidRDefault="00E42B0B" w:rsidP="00BC283C">
            <w:pPr>
              <w:overflowPunct/>
              <w:adjustRightInd/>
              <w:jc w:val="left"/>
              <w:textAlignment w:val="auto"/>
              <w:rPr>
                <w:szCs w:val="22"/>
              </w:rPr>
            </w:pPr>
            <w:r w:rsidRPr="006D6E4A">
              <w:t>October 2018</w:t>
            </w:r>
          </w:p>
        </w:tc>
      </w:tr>
      <w:tr w:rsidR="00B57743" w:rsidRPr="006D6E4A" w:rsidDel="00424008" w:rsidTr="00CE2129">
        <w:tc>
          <w:tcPr>
            <w:tcW w:w="9135" w:type="dxa"/>
            <w:gridSpan w:val="4"/>
          </w:tcPr>
          <w:p w:rsidR="00B57743" w:rsidRPr="005E03C9" w:rsidRDefault="00B57743" w:rsidP="00BC283C">
            <w:pPr>
              <w:overflowPunct/>
              <w:adjustRightInd/>
              <w:jc w:val="left"/>
              <w:textAlignment w:val="auto"/>
              <w:rPr>
                <w:b/>
              </w:rPr>
            </w:pPr>
            <w:r w:rsidRPr="005E03C9">
              <w:rPr>
                <w:b/>
              </w:rPr>
              <w:t>Energy policy</w:t>
            </w:r>
          </w:p>
        </w:tc>
      </w:tr>
      <w:tr w:rsidR="00B57743" w:rsidRPr="006D6E4A" w:rsidDel="00424008" w:rsidTr="00B54B31">
        <w:tc>
          <w:tcPr>
            <w:tcW w:w="2413" w:type="dxa"/>
          </w:tcPr>
          <w:p w:rsidR="00B57743" w:rsidRPr="006D6E4A" w:rsidRDefault="00B57743" w:rsidP="00BC283C">
            <w:pPr>
              <w:overflowPunct/>
              <w:adjustRightInd/>
              <w:jc w:val="left"/>
              <w:textAlignment w:val="auto"/>
            </w:pPr>
            <w:r w:rsidRPr="006D6E4A">
              <w:t>COM (2017) 660 final, 2017/0294 (COD)</w:t>
            </w:r>
          </w:p>
        </w:tc>
        <w:tc>
          <w:tcPr>
            <w:tcW w:w="3045" w:type="dxa"/>
          </w:tcPr>
          <w:p w:rsidR="00B57743" w:rsidRPr="006D6E4A" w:rsidRDefault="00B57743" w:rsidP="00B57743">
            <w:pPr>
              <w:overflowPunct/>
              <w:adjustRightInd/>
              <w:jc w:val="left"/>
              <w:textAlignment w:val="auto"/>
            </w:pPr>
            <w:r w:rsidRPr="006D6E4A">
              <w:t>Opinion on the rules for the internal market in natural gas</w:t>
            </w:r>
          </w:p>
          <w:p w:rsidR="00B57743" w:rsidRPr="006D6E4A" w:rsidRDefault="00B57743" w:rsidP="00B57743">
            <w:pPr>
              <w:overflowPunct/>
              <w:adjustRightInd/>
              <w:jc w:val="left"/>
              <w:textAlignment w:val="auto"/>
            </w:pPr>
          </w:p>
          <w:p w:rsidR="00B57743" w:rsidRPr="006D6E4A" w:rsidRDefault="00B57743" w:rsidP="00B57743">
            <w:pPr>
              <w:overflowPunct/>
              <w:adjustRightInd/>
              <w:jc w:val="left"/>
              <w:textAlignment w:val="auto"/>
            </w:pPr>
            <w:r w:rsidRPr="006D6E4A">
              <w:t>Proposal for a Directive of the European Parliament and of the Council amending Directive 2009/73/EC concerning common rules for the internal market in natural gas</w:t>
            </w:r>
          </w:p>
        </w:tc>
        <w:tc>
          <w:tcPr>
            <w:tcW w:w="2240" w:type="dxa"/>
          </w:tcPr>
          <w:p w:rsidR="00B57743" w:rsidRPr="006D6E4A" w:rsidRDefault="00B57743" w:rsidP="00BC283C">
            <w:pPr>
              <w:overflowPunct/>
              <w:adjustRightInd/>
              <w:jc w:val="left"/>
              <w:textAlignment w:val="auto"/>
            </w:pPr>
            <w:r w:rsidRPr="006D6E4A">
              <w:t>Legislative proposal</w:t>
            </w:r>
          </w:p>
        </w:tc>
        <w:tc>
          <w:tcPr>
            <w:tcW w:w="1437" w:type="dxa"/>
          </w:tcPr>
          <w:p w:rsidR="00B57743" w:rsidRPr="006D6E4A" w:rsidRDefault="00B57743" w:rsidP="00BC283C">
            <w:pPr>
              <w:overflowPunct/>
              <w:adjustRightInd/>
              <w:jc w:val="left"/>
              <w:textAlignment w:val="auto"/>
            </w:pPr>
            <w:r w:rsidRPr="006D6E4A">
              <w:t>July 2018</w:t>
            </w:r>
          </w:p>
        </w:tc>
      </w:tr>
    </w:tbl>
    <w:p w:rsidR="00BD7F91" w:rsidRPr="006D6E4A" w:rsidRDefault="00BD7F91" w:rsidP="00BC283C">
      <w:pPr>
        <w:suppressLineNumbers/>
        <w:suppressAutoHyphens/>
        <w:overflowPunct/>
        <w:adjustRightInd/>
        <w:jc w:val="center"/>
        <w:textAlignment w:val="auto"/>
        <w:rPr>
          <w:b/>
        </w:rPr>
      </w:pPr>
      <w:r w:rsidRPr="006D6E4A">
        <w:rPr>
          <w:b/>
        </w:rPr>
        <w:br w:type="page"/>
      </w:r>
      <w:r w:rsidRPr="006D6E4A">
        <w:rPr>
          <w:b/>
        </w:rPr>
        <w:lastRenderedPageBreak/>
        <w:t>APPENDIX II</w:t>
      </w:r>
    </w:p>
    <w:p w:rsidR="00BD7F91" w:rsidRPr="006D6E4A" w:rsidRDefault="00BD7F91" w:rsidP="00BC283C">
      <w:pPr>
        <w:overflowPunct/>
        <w:adjustRightInd/>
        <w:jc w:val="center"/>
        <w:textAlignment w:val="auto"/>
        <w:rPr>
          <w:b/>
        </w:rPr>
      </w:pPr>
    </w:p>
    <w:p w:rsidR="00BD7F91" w:rsidRPr="006D6E4A" w:rsidRDefault="00BD7F91" w:rsidP="00BC283C">
      <w:pPr>
        <w:overflowPunct/>
        <w:adjustRightInd/>
        <w:jc w:val="center"/>
        <w:textAlignment w:val="auto"/>
        <w:rPr>
          <w:b/>
        </w:rPr>
      </w:pPr>
      <w:r w:rsidRPr="006D6E4A">
        <w:rPr>
          <w:b/>
        </w:rPr>
        <w:t xml:space="preserve">List of the </w:t>
      </w:r>
      <w:r w:rsidR="00184154" w:rsidRPr="006D6E4A">
        <w:rPr>
          <w:b/>
        </w:rPr>
        <w:t xml:space="preserve">main </w:t>
      </w:r>
      <w:r w:rsidRPr="006D6E4A">
        <w:rPr>
          <w:b/>
        </w:rPr>
        <w:t xml:space="preserve">legislative and non-legislative proposals corresponding to the political priorities </w:t>
      </w:r>
      <w:r w:rsidR="008C4BA5" w:rsidRPr="006D6E4A">
        <w:rPr>
          <w:b/>
        </w:rPr>
        <w:t xml:space="preserve">of the </w:t>
      </w:r>
      <w:r w:rsidR="006C48B8" w:rsidRPr="006D6E4A">
        <w:rPr>
          <w:b/>
        </w:rPr>
        <w:t>ENVE</w:t>
      </w:r>
      <w:r w:rsidR="005205F6" w:rsidRPr="006D6E4A">
        <w:rPr>
          <w:b/>
        </w:rPr>
        <w:t xml:space="preserve"> </w:t>
      </w:r>
      <w:r w:rsidR="00184154" w:rsidRPr="006D6E4A">
        <w:rPr>
          <w:b/>
        </w:rPr>
        <w:t>C</w:t>
      </w:r>
      <w:r w:rsidR="005205F6" w:rsidRPr="006D6E4A">
        <w:rPr>
          <w:b/>
        </w:rPr>
        <w:t>ommission for 2018</w:t>
      </w:r>
      <w:r w:rsidRPr="006D6E4A">
        <w:rPr>
          <w:rStyle w:val="FootnoteReference"/>
        </w:rPr>
        <w:footnoteReference w:id="4"/>
      </w:r>
    </w:p>
    <w:p w:rsidR="00BD7F91" w:rsidRPr="006D6E4A" w:rsidRDefault="00BD7F91" w:rsidP="00BC283C">
      <w:pPr>
        <w:overflowPunct/>
        <w:adjustRightInd/>
        <w:textAlignment w:val="auto"/>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3045"/>
        <w:gridCol w:w="2240"/>
        <w:gridCol w:w="1233"/>
      </w:tblGrid>
      <w:tr w:rsidR="00BD7F91" w:rsidRPr="006D6E4A" w:rsidTr="008869FB">
        <w:tc>
          <w:tcPr>
            <w:tcW w:w="2413" w:type="dxa"/>
          </w:tcPr>
          <w:p w:rsidR="00BD7F91" w:rsidRPr="006D6E4A" w:rsidRDefault="00BD7F91" w:rsidP="00BC283C">
            <w:pPr>
              <w:overflowPunct/>
              <w:adjustRightInd/>
              <w:jc w:val="center"/>
              <w:textAlignment w:val="auto"/>
              <w:rPr>
                <w:b/>
                <w:bCs/>
                <w:szCs w:val="22"/>
              </w:rPr>
            </w:pPr>
            <w:r w:rsidRPr="006D6E4A">
              <w:rPr>
                <w:b/>
              </w:rPr>
              <w:t>Reference of European Commission document</w:t>
            </w:r>
          </w:p>
        </w:tc>
        <w:tc>
          <w:tcPr>
            <w:tcW w:w="3045" w:type="dxa"/>
          </w:tcPr>
          <w:p w:rsidR="00BD7F91" w:rsidRPr="006D6E4A" w:rsidRDefault="00BD7F91" w:rsidP="00BC283C">
            <w:pPr>
              <w:overflowPunct/>
              <w:adjustRightInd/>
              <w:jc w:val="center"/>
              <w:textAlignment w:val="auto"/>
              <w:rPr>
                <w:b/>
                <w:bCs/>
                <w:szCs w:val="22"/>
              </w:rPr>
            </w:pPr>
            <w:r w:rsidRPr="006D6E4A">
              <w:rPr>
                <w:b/>
              </w:rPr>
              <w:t>Title of European Commission document</w:t>
            </w:r>
          </w:p>
        </w:tc>
        <w:tc>
          <w:tcPr>
            <w:tcW w:w="2240" w:type="dxa"/>
          </w:tcPr>
          <w:p w:rsidR="00BD7F91" w:rsidRPr="006D6E4A" w:rsidRDefault="00BD7F91" w:rsidP="00BC283C">
            <w:pPr>
              <w:overflowPunct/>
              <w:adjustRightInd/>
              <w:jc w:val="center"/>
              <w:textAlignment w:val="auto"/>
              <w:rPr>
                <w:b/>
                <w:bCs/>
                <w:szCs w:val="22"/>
              </w:rPr>
            </w:pPr>
            <w:r w:rsidRPr="006D6E4A">
              <w:rPr>
                <w:b/>
              </w:rPr>
              <w:t>Procedure</w:t>
            </w:r>
          </w:p>
        </w:tc>
        <w:tc>
          <w:tcPr>
            <w:tcW w:w="1233" w:type="dxa"/>
          </w:tcPr>
          <w:p w:rsidR="00BD7F91" w:rsidRPr="006D6E4A" w:rsidRDefault="00BD7F91" w:rsidP="00BC283C">
            <w:pPr>
              <w:overflowPunct/>
              <w:adjustRightInd/>
              <w:jc w:val="center"/>
              <w:textAlignment w:val="auto"/>
              <w:rPr>
                <w:b/>
                <w:bCs/>
                <w:szCs w:val="22"/>
              </w:rPr>
            </w:pPr>
            <w:r w:rsidRPr="006D6E4A">
              <w:rPr>
                <w:b/>
              </w:rPr>
              <w:t xml:space="preserve">Scheduled adoption </w:t>
            </w:r>
            <w:r w:rsidRPr="006D6E4A">
              <w:rPr>
                <w:b/>
              </w:rPr>
              <w:br/>
              <w:t>by the CoR</w:t>
            </w:r>
          </w:p>
        </w:tc>
      </w:tr>
      <w:tr w:rsidR="00BD7F91" w:rsidRPr="006D6E4A" w:rsidTr="008869FB">
        <w:tc>
          <w:tcPr>
            <w:tcW w:w="8931" w:type="dxa"/>
            <w:gridSpan w:val="4"/>
          </w:tcPr>
          <w:p w:rsidR="00BD7F91" w:rsidRPr="006D6E4A" w:rsidRDefault="008869FB" w:rsidP="00BC283C">
            <w:pPr>
              <w:overflowPunct/>
              <w:adjustRightInd/>
              <w:jc w:val="left"/>
              <w:textAlignment w:val="auto"/>
              <w:rPr>
                <w:b/>
                <w:bCs/>
                <w:i/>
                <w:szCs w:val="22"/>
              </w:rPr>
            </w:pPr>
            <w:r w:rsidRPr="006D6E4A">
              <w:rPr>
                <w:b/>
                <w:i/>
              </w:rPr>
              <w:t xml:space="preserve">Energy </w:t>
            </w:r>
            <w:r w:rsidR="00BD7F91" w:rsidRPr="006D6E4A">
              <w:rPr>
                <w:b/>
                <w:i/>
              </w:rPr>
              <w:t>policy</w:t>
            </w:r>
            <w:r w:rsidR="00C306A4" w:rsidRPr="006D6E4A">
              <w:rPr>
                <w:b/>
                <w:i/>
              </w:rPr>
              <w:t xml:space="preserve"> – A resilient Energy Union with a forward-looking climate change policy</w:t>
            </w:r>
          </w:p>
        </w:tc>
      </w:tr>
      <w:tr w:rsidR="00BD7F91" w:rsidRPr="006D6E4A" w:rsidTr="008869FB">
        <w:tc>
          <w:tcPr>
            <w:tcW w:w="2413" w:type="dxa"/>
          </w:tcPr>
          <w:p w:rsidR="00BD7F91" w:rsidRPr="006D6E4A" w:rsidRDefault="00C306A4" w:rsidP="00BC283C">
            <w:pPr>
              <w:overflowPunct/>
              <w:adjustRightInd/>
              <w:textAlignment w:val="auto"/>
              <w:rPr>
                <w:szCs w:val="22"/>
              </w:rPr>
            </w:pPr>
            <w:r w:rsidRPr="006D6E4A">
              <w:t>Commission Work Programme 2018</w:t>
            </w:r>
          </w:p>
        </w:tc>
        <w:tc>
          <w:tcPr>
            <w:tcW w:w="3045" w:type="dxa"/>
          </w:tcPr>
          <w:p w:rsidR="00BD7F91" w:rsidRPr="006D6E4A" w:rsidRDefault="00C306A4" w:rsidP="00BC283C">
            <w:pPr>
              <w:overflowPunct/>
              <w:adjustRightInd/>
              <w:textAlignment w:val="auto"/>
              <w:rPr>
                <w:szCs w:val="22"/>
              </w:rPr>
            </w:pPr>
            <w:r w:rsidRPr="006D6E4A">
              <w:t xml:space="preserve">Communication on the future of EU energy and climate policy, including the future of the </w:t>
            </w:r>
            <w:proofErr w:type="spellStart"/>
            <w:r w:rsidRPr="006D6E4A">
              <w:t>Euratom</w:t>
            </w:r>
            <w:proofErr w:type="spellEnd"/>
            <w:r w:rsidRPr="006D6E4A">
              <w:t xml:space="preserve"> Treaty (Q2 2018, </w:t>
            </w:r>
            <w:r w:rsidRPr="006D6E4A">
              <w:rPr>
                <w:i/>
              </w:rPr>
              <w:t>initiative to be launched with a 2025 perspective</w:t>
            </w:r>
            <w:r w:rsidRPr="006D6E4A">
              <w:t>)</w:t>
            </w:r>
            <w:r w:rsidR="00137BE5" w:rsidRPr="006D6E4A">
              <w:t>;</w:t>
            </w:r>
          </w:p>
        </w:tc>
        <w:tc>
          <w:tcPr>
            <w:tcW w:w="2240" w:type="dxa"/>
          </w:tcPr>
          <w:p w:rsidR="00BD7F91" w:rsidRPr="006D6E4A" w:rsidRDefault="00C306A4" w:rsidP="00BC283C">
            <w:pPr>
              <w:overflowPunct/>
              <w:adjustRightInd/>
              <w:jc w:val="left"/>
              <w:textAlignment w:val="auto"/>
              <w:rPr>
                <w:rFonts w:eastAsia="PMingLiU"/>
                <w:szCs w:val="22"/>
                <w:lang w:eastAsia="zh-TW"/>
              </w:rPr>
            </w:pPr>
            <w:r w:rsidRPr="006D6E4A">
              <w:rPr>
                <w:rFonts w:eastAsia="PMingLiU"/>
              </w:rPr>
              <w:t>Non legislative proposal</w:t>
            </w:r>
          </w:p>
        </w:tc>
        <w:tc>
          <w:tcPr>
            <w:tcW w:w="1233" w:type="dxa"/>
          </w:tcPr>
          <w:p w:rsidR="00BD7F91" w:rsidRPr="006D6E4A" w:rsidRDefault="006D4AF3" w:rsidP="00BC283C">
            <w:pPr>
              <w:overflowPunct/>
              <w:adjustRightInd/>
              <w:jc w:val="left"/>
              <w:textAlignment w:val="auto"/>
              <w:rPr>
                <w:szCs w:val="22"/>
              </w:rPr>
            </w:pPr>
            <w:r w:rsidRPr="006D6E4A">
              <w:t>Autumn 2018</w:t>
            </w:r>
          </w:p>
        </w:tc>
      </w:tr>
      <w:tr w:rsidR="008869FB" w:rsidRPr="006D6E4A" w:rsidTr="00B54B31">
        <w:tc>
          <w:tcPr>
            <w:tcW w:w="8931" w:type="dxa"/>
            <w:gridSpan w:val="4"/>
          </w:tcPr>
          <w:p w:rsidR="008869FB" w:rsidRPr="006D6E4A" w:rsidRDefault="008869FB" w:rsidP="00BC283C">
            <w:pPr>
              <w:overflowPunct/>
              <w:adjustRightInd/>
              <w:jc w:val="left"/>
              <w:textAlignment w:val="auto"/>
              <w:rPr>
                <w:b/>
                <w:i/>
                <w:szCs w:val="22"/>
              </w:rPr>
            </w:pPr>
            <w:r w:rsidRPr="006D6E4A">
              <w:rPr>
                <w:b/>
                <w:i/>
              </w:rPr>
              <w:t>Environmental policy – Delivering on the Circular Economy Action Plan</w:t>
            </w:r>
          </w:p>
        </w:tc>
      </w:tr>
      <w:tr w:rsidR="008869FB" w:rsidRPr="006D6E4A" w:rsidTr="008869FB">
        <w:tc>
          <w:tcPr>
            <w:tcW w:w="2413" w:type="dxa"/>
          </w:tcPr>
          <w:p w:rsidR="008869FB" w:rsidRPr="006D6E4A" w:rsidRDefault="009535F5" w:rsidP="00BC283C">
            <w:pPr>
              <w:overflowPunct/>
              <w:adjustRightInd/>
              <w:textAlignment w:val="auto"/>
              <w:rPr>
                <w:szCs w:val="22"/>
              </w:rPr>
            </w:pPr>
            <w:r w:rsidRPr="006D6E4A">
              <w:t>Commission Work Programme 2018</w:t>
            </w:r>
          </w:p>
        </w:tc>
        <w:tc>
          <w:tcPr>
            <w:tcW w:w="3045" w:type="dxa"/>
          </w:tcPr>
          <w:p w:rsidR="008869FB" w:rsidRPr="006D6E4A" w:rsidRDefault="009535F5" w:rsidP="00BC283C">
            <w:pPr>
              <w:overflowPunct/>
              <w:adjustRightInd/>
              <w:textAlignment w:val="auto"/>
              <w:rPr>
                <w:szCs w:val="22"/>
                <w:highlight w:val="yellow"/>
              </w:rPr>
            </w:pPr>
            <w:r w:rsidRPr="006D6E4A">
              <w:t xml:space="preserve">Proposal for a Regulation on minimum quality requirements for reused water (legislative, incl. impact assessment, Art. 192 TFEU, Q4 2017); </w:t>
            </w:r>
          </w:p>
        </w:tc>
        <w:tc>
          <w:tcPr>
            <w:tcW w:w="2240" w:type="dxa"/>
          </w:tcPr>
          <w:p w:rsidR="008869FB" w:rsidRPr="006D6E4A" w:rsidRDefault="00531732" w:rsidP="00BC283C">
            <w:pPr>
              <w:overflowPunct/>
              <w:adjustRightInd/>
              <w:jc w:val="left"/>
              <w:textAlignment w:val="auto"/>
              <w:rPr>
                <w:rFonts w:eastAsia="PMingLiU"/>
                <w:szCs w:val="22"/>
                <w:lang w:eastAsia="zh-TW"/>
              </w:rPr>
            </w:pPr>
            <w:r w:rsidRPr="006D6E4A">
              <w:rPr>
                <w:rFonts w:eastAsia="PMingLiU"/>
              </w:rPr>
              <w:t>Legislative proposal</w:t>
            </w:r>
          </w:p>
        </w:tc>
        <w:tc>
          <w:tcPr>
            <w:tcW w:w="1233" w:type="dxa"/>
          </w:tcPr>
          <w:p w:rsidR="008869FB" w:rsidRPr="006D6E4A" w:rsidRDefault="001C376E" w:rsidP="00BC283C">
            <w:pPr>
              <w:overflowPunct/>
              <w:adjustRightInd/>
              <w:jc w:val="left"/>
              <w:textAlignment w:val="auto"/>
              <w:rPr>
                <w:szCs w:val="22"/>
              </w:rPr>
            </w:pPr>
            <w:r w:rsidRPr="006D6E4A">
              <w:t>Tbc</w:t>
            </w:r>
          </w:p>
        </w:tc>
      </w:tr>
      <w:tr w:rsidR="008869FB" w:rsidRPr="006D6E4A" w:rsidTr="008869FB">
        <w:tc>
          <w:tcPr>
            <w:tcW w:w="2413" w:type="dxa"/>
          </w:tcPr>
          <w:p w:rsidR="008869FB" w:rsidRPr="006D6E4A" w:rsidRDefault="009535F5" w:rsidP="00BC283C">
            <w:pPr>
              <w:overflowPunct/>
              <w:adjustRightInd/>
              <w:textAlignment w:val="auto"/>
              <w:rPr>
                <w:szCs w:val="22"/>
              </w:rPr>
            </w:pPr>
            <w:r w:rsidRPr="006D6E4A">
              <w:t>Commission Work Programme 2018</w:t>
            </w:r>
          </w:p>
        </w:tc>
        <w:tc>
          <w:tcPr>
            <w:tcW w:w="3045" w:type="dxa"/>
          </w:tcPr>
          <w:p w:rsidR="008869FB" w:rsidRPr="006D6E4A" w:rsidRDefault="009535F5" w:rsidP="00BC283C">
            <w:pPr>
              <w:overflowPunct/>
              <w:adjustRightInd/>
              <w:textAlignment w:val="auto"/>
              <w:rPr>
                <w:szCs w:val="22"/>
                <w:highlight w:val="yellow"/>
              </w:rPr>
            </w:pPr>
            <w:r w:rsidRPr="006D6E4A">
              <w:t xml:space="preserve">REFIT revision of the Drinking Water Directive (legislative, incl. impact assessment, Art. 192 TFEU, Q4 2017); </w:t>
            </w:r>
          </w:p>
        </w:tc>
        <w:tc>
          <w:tcPr>
            <w:tcW w:w="2240" w:type="dxa"/>
          </w:tcPr>
          <w:p w:rsidR="008869FB" w:rsidRPr="006D6E4A" w:rsidRDefault="00531732" w:rsidP="00BC283C">
            <w:pPr>
              <w:overflowPunct/>
              <w:adjustRightInd/>
              <w:jc w:val="left"/>
              <w:textAlignment w:val="auto"/>
              <w:rPr>
                <w:rFonts w:eastAsia="PMingLiU"/>
                <w:szCs w:val="22"/>
                <w:lang w:eastAsia="zh-TW"/>
              </w:rPr>
            </w:pPr>
            <w:r w:rsidRPr="006D6E4A">
              <w:rPr>
                <w:rFonts w:eastAsia="PMingLiU"/>
              </w:rPr>
              <w:t>Legislative proposal</w:t>
            </w:r>
          </w:p>
        </w:tc>
        <w:tc>
          <w:tcPr>
            <w:tcW w:w="1233" w:type="dxa"/>
          </w:tcPr>
          <w:p w:rsidR="008869FB" w:rsidRPr="006D6E4A" w:rsidRDefault="001C376E" w:rsidP="00BC283C">
            <w:pPr>
              <w:overflowPunct/>
              <w:adjustRightInd/>
              <w:jc w:val="left"/>
              <w:textAlignment w:val="auto"/>
              <w:rPr>
                <w:szCs w:val="22"/>
              </w:rPr>
            </w:pPr>
            <w:r w:rsidRPr="006D6E4A">
              <w:t>Tbc</w:t>
            </w:r>
          </w:p>
        </w:tc>
      </w:tr>
      <w:tr w:rsidR="006873F3" w:rsidRPr="006D6E4A" w:rsidTr="008869FB">
        <w:tc>
          <w:tcPr>
            <w:tcW w:w="2413" w:type="dxa"/>
          </w:tcPr>
          <w:p w:rsidR="006873F3" w:rsidRPr="006D6E4A" w:rsidRDefault="006873F3" w:rsidP="00BC283C">
            <w:pPr>
              <w:overflowPunct/>
              <w:adjustRightInd/>
              <w:textAlignment w:val="auto"/>
              <w:rPr>
                <w:szCs w:val="22"/>
              </w:rPr>
            </w:pPr>
            <w:r w:rsidRPr="006D6E4A">
              <w:t>Commission Work Programme 2018</w:t>
            </w:r>
          </w:p>
        </w:tc>
        <w:tc>
          <w:tcPr>
            <w:tcW w:w="3045" w:type="dxa"/>
          </w:tcPr>
          <w:p w:rsidR="006873F3" w:rsidRPr="006D6E4A" w:rsidRDefault="006873F3" w:rsidP="00BC283C">
            <w:pPr>
              <w:overflowPunct/>
              <w:spacing w:line="240" w:lineRule="auto"/>
              <w:textAlignment w:val="auto"/>
              <w:rPr>
                <w:color w:val="000000"/>
                <w:sz w:val="20"/>
              </w:rPr>
            </w:pPr>
            <w:r w:rsidRPr="006D6E4A">
              <w:t xml:space="preserve">Strategy on plastics use, reuse and recycling (non-legislative, Q4 2017); </w:t>
            </w:r>
          </w:p>
          <w:p w:rsidR="006873F3" w:rsidRPr="006D6E4A" w:rsidRDefault="006873F3" w:rsidP="00BC283C">
            <w:pPr>
              <w:overflowPunct/>
              <w:adjustRightInd/>
              <w:textAlignment w:val="auto"/>
              <w:rPr>
                <w:szCs w:val="22"/>
              </w:rPr>
            </w:pPr>
          </w:p>
        </w:tc>
        <w:tc>
          <w:tcPr>
            <w:tcW w:w="2240" w:type="dxa"/>
          </w:tcPr>
          <w:p w:rsidR="006873F3" w:rsidRPr="006D6E4A" w:rsidRDefault="006873F3" w:rsidP="00BC283C">
            <w:pPr>
              <w:overflowPunct/>
              <w:adjustRightInd/>
              <w:jc w:val="left"/>
              <w:textAlignment w:val="auto"/>
              <w:rPr>
                <w:rFonts w:eastAsia="PMingLiU"/>
                <w:szCs w:val="22"/>
                <w:lang w:eastAsia="zh-TW"/>
              </w:rPr>
            </w:pPr>
            <w:r w:rsidRPr="006D6E4A">
              <w:rPr>
                <w:rFonts w:eastAsia="PMingLiU"/>
              </w:rPr>
              <w:t>Non-legislative proposal</w:t>
            </w:r>
          </w:p>
        </w:tc>
        <w:tc>
          <w:tcPr>
            <w:tcW w:w="1233" w:type="dxa"/>
          </w:tcPr>
          <w:p w:rsidR="006873F3" w:rsidRPr="006D6E4A" w:rsidRDefault="006873F3" w:rsidP="00BC283C">
            <w:pPr>
              <w:overflowPunct/>
              <w:adjustRightInd/>
              <w:jc w:val="left"/>
              <w:textAlignment w:val="auto"/>
              <w:rPr>
                <w:szCs w:val="22"/>
              </w:rPr>
            </w:pPr>
            <w:r w:rsidRPr="006D6E4A">
              <w:t>Tbc</w:t>
            </w:r>
          </w:p>
        </w:tc>
      </w:tr>
      <w:tr w:rsidR="008869FB" w:rsidRPr="006D6E4A" w:rsidTr="008869FB">
        <w:tc>
          <w:tcPr>
            <w:tcW w:w="2413" w:type="dxa"/>
          </w:tcPr>
          <w:p w:rsidR="008869FB" w:rsidRPr="006D6E4A" w:rsidRDefault="009535F5" w:rsidP="00BC283C">
            <w:pPr>
              <w:overflowPunct/>
              <w:adjustRightInd/>
              <w:textAlignment w:val="auto"/>
              <w:rPr>
                <w:szCs w:val="22"/>
              </w:rPr>
            </w:pPr>
            <w:r w:rsidRPr="006D6E4A">
              <w:t>Commission Work Programme 2018</w:t>
            </w:r>
          </w:p>
        </w:tc>
        <w:tc>
          <w:tcPr>
            <w:tcW w:w="3045" w:type="dxa"/>
          </w:tcPr>
          <w:p w:rsidR="008869FB" w:rsidRPr="006D6E4A" w:rsidRDefault="009535F5" w:rsidP="00BC283C">
            <w:pPr>
              <w:overflowPunct/>
              <w:adjustRightInd/>
              <w:textAlignment w:val="auto"/>
              <w:rPr>
                <w:szCs w:val="22"/>
                <w:highlight w:val="yellow"/>
              </w:rPr>
            </w:pPr>
            <w:r w:rsidRPr="006D6E4A">
              <w:t xml:space="preserve">Initiative to address legal, technical or practical bottlenecks at the interface of chemical, product and waste legislation (non-legislative, Q4 2017); </w:t>
            </w:r>
          </w:p>
        </w:tc>
        <w:tc>
          <w:tcPr>
            <w:tcW w:w="2240" w:type="dxa"/>
          </w:tcPr>
          <w:p w:rsidR="008869FB" w:rsidRPr="006D6E4A" w:rsidRDefault="00531732" w:rsidP="00BC283C">
            <w:pPr>
              <w:overflowPunct/>
              <w:adjustRightInd/>
              <w:jc w:val="left"/>
              <w:textAlignment w:val="auto"/>
              <w:rPr>
                <w:rFonts w:eastAsia="PMingLiU"/>
                <w:szCs w:val="22"/>
                <w:lang w:eastAsia="zh-TW"/>
              </w:rPr>
            </w:pPr>
            <w:r w:rsidRPr="006D6E4A">
              <w:rPr>
                <w:rFonts w:eastAsia="PMingLiU"/>
              </w:rPr>
              <w:t>Non-legislative proposal</w:t>
            </w:r>
          </w:p>
        </w:tc>
        <w:tc>
          <w:tcPr>
            <w:tcW w:w="1233" w:type="dxa"/>
          </w:tcPr>
          <w:p w:rsidR="008869FB" w:rsidRPr="006D6E4A" w:rsidRDefault="001C376E" w:rsidP="00BC283C">
            <w:pPr>
              <w:overflowPunct/>
              <w:adjustRightInd/>
              <w:jc w:val="left"/>
              <w:textAlignment w:val="auto"/>
              <w:rPr>
                <w:szCs w:val="22"/>
              </w:rPr>
            </w:pPr>
            <w:r w:rsidRPr="006D6E4A">
              <w:t>Tbc</w:t>
            </w:r>
          </w:p>
        </w:tc>
      </w:tr>
      <w:tr w:rsidR="008869FB" w:rsidRPr="006D6E4A" w:rsidTr="008869FB">
        <w:tc>
          <w:tcPr>
            <w:tcW w:w="2413" w:type="dxa"/>
          </w:tcPr>
          <w:p w:rsidR="008869FB" w:rsidRPr="006D6E4A" w:rsidRDefault="009535F5" w:rsidP="00BC283C">
            <w:pPr>
              <w:overflowPunct/>
              <w:adjustRightInd/>
              <w:textAlignment w:val="auto"/>
              <w:rPr>
                <w:szCs w:val="22"/>
              </w:rPr>
            </w:pPr>
            <w:r w:rsidRPr="006D6E4A">
              <w:t>Commission Work Programme 2018</w:t>
            </w:r>
          </w:p>
        </w:tc>
        <w:tc>
          <w:tcPr>
            <w:tcW w:w="3045" w:type="dxa"/>
          </w:tcPr>
          <w:p w:rsidR="008869FB" w:rsidRPr="006D6E4A" w:rsidRDefault="009535F5" w:rsidP="00BC283C">
            <w:pPr>
              <w:overflowPunct/>
              <w:adjustRightInd/>
              <w:textAlignment w:val="auto"/>
              <w:rPr>
                <w:szCs w:val="22"/>
                <w:highlight w:val="yellow"/>
              </w:rPr>
            </w:pPr>
            <w:r w:rsidRPr="006D6E4A">
              <w:t>Monitoring framework for the circular economy (non-legislative, Q4 2017)</w:t>
            </w:r>
          </w:p>
        </w:tc>
        <w:tc>
          <w:tcPr>
            <w:tcW w:w="2240" w:type="dxa"/>
          </w:tcPr>
          <w:p w:rsidR="008869FB" w:rsidRPr="006D6E4A" w:rsidRDefault="00531732" w:rsidP="00BC283C">
            <w:pPr>
              <w:overflowPunct/>
              <w:adjustRightInd/>
              <w:jc w:val="left"/>
              <w:textAlignment w:val="auto"/>
              <w:rPr>
                <w:rFonts w:eastAsia="PMingLiU"/>
                <w:szCs w:val="22"/>
                <w:lang w:eastAsia="zh-TW"/>
              </w:rPr>
            </w:pPr>
            <w:r w:rsidRPr="006D6E4A">
              <w:rPr>
                <w:rFonts w:eastAsia="PMingLiU"/>
              </w:rPr>
              <w:t>Non-legislative proposal</w:t>
            </w:r>
          </w:p>
        </w:tc>
        <w:tc>
          <w:tcPr>
            <w:tcW w:w="1233" w:type="dxa"/>
          </w:tcPr>
          <w:p w:rsidR="008869FB" w:rsidRPr="006D6E4A" w:rsidRDefault="001C376E" w:rsidP="00BC283C">
            <w:pPr>
              <w:overflowPunct/>
              <w:adjustRightInd/>
              <w:jc w:val="left"/>
              <w:textAlignment w:val="auto"/>
              <w:rPr>
                <w:szCs w:val="22"/>
              </w:rPr>
            </w:pPr>
            <w:r w:rsidRPr="006D6E4A">
              <w:t>Tbc</w:t>
            </w:r>
          </w:p>
        </w:tc>
      </w:tr>
      <w:tr w:rsidR="00137BE5" w:rsidRPr="006D6E4A" w:rsidTr="008869FB">
        <w:tc>
          <w:tcPr>
            <w:tcW w:w="2413" w:type="dxa"/>
          </w:tcPr>
          <w:p w:rsidR="00137BE5" w:rsidRPr="006D6E4A" w:rsidRDefault="00137BE5" w:rsidP="00BC283C">
            <w:pPr>
              <w:overflowPunct/>
              <w:adjustRightInd/>
              <w:textAlignment w:val="auto"/>
              <w:rPr>
                <w:szCs w:val="22"/>
              </w:rPr>
            </w:pPr>
            <w:r w:rsidRPr="006D6E4A">
              <w:t>Commission Work Programme 2018</w:t>
            </w:r>
          </w:p>
        </w:tc>
        <w:tc>
          <w:tcPr>
            <w:tcW w:w="3045" w:type="dxa"/>
          </w:tcPr>
          <w:p w:rsidR="00137BE5" w:rsidRPr="006D6E4A" w:rsidRDefault="00137BE5" w:rsidP="00BC283C">
            <w:pPr>
              <w:overflowPunct/>
              <w:spacing w:line="240" w:lineRule="auto"/>
              <w:textAlignment w:val="auto"/>
            </w:pPr>
            <w:r w:rsidRPr="006D6E4A">
              <w:t>Follow</w:t>
            </w:r>
            <w:r w:rsidR="002F64A0" w:rsidRPr="006D6E4A">
              <w:t>-</w:t>
            </w:r>
            <w:r w:rsidRPr="006D6E4A">
              <w:t xml:space="preserve">up to Environmental Monitoring &amp; Reporting Fitness Check </w:t>
            </w:r>
          </w:p>
          <w:p w:rsidR="00137BE5" w:rsidRPr="006D6E4A" w:rsidRDefault="00137BE5" w:rsidP="00BC283C">
            <w:pPr>
              <w:overflowPunct/>
              <w:spacing w:line="240" w:lineRule="auto"/>
              <w:textAlignment w:val="auto"/>
              <w:rPr>
                <w:color w:val="000000"/>
                <w:sz w:val="20"/>
              </w:rPr>
            </w:pPr>
            <w:r w:rsidRPr="006D6E4A">
              <w:t xml:space="preserve">Initiative to streamline requirements in follow-up to a Fitness Check on </w:t>
            </w:r>
            <w:r w:rsidRPr="006D6E4A">
              <w:lastRenderedPageBreak/>
              <w:t>Environmental Monitoring &amp; Reporting (Art. 95, 175, 192 TFEU, Q1 2018)</w:t>
            </w:r>
            <w:r w:rsidRPr="006D6E4A">
              <w:rPr>
                <w:color w:val="000000"/>
                <w:sz w:val="20"/>
              </w:rPr>
              <w:t xml:space="preserve"> </w:t>
            </w:r>
          </w:p>
          <w:p w:rsidR="00137BE5" w:rsidRPr="006D6E4A" w:rsidRDefault="00137BE5" w:rsidP="00BC283C">
            <w:pPr>
              <w:overflowPunct/>
              <w:adjustRightInd/>
              <w:textAlignment w:val="auto"/>
              <w:rPr>
                <w:szCs w:val="22"/>
              </w:rPr>
            </w:pPr>
          </w:p>
        </w:tc>
        <w:tc>
          <w:tcPr>
            <w:tcW w:w="2240" w:type="dxa"/>
          </w:tcPr>
          <w:p w:rsidR="00137BE5" w:rsidRPr="006D6E4A" w:rsidRDefault="00137BE5" w:rsidP="00BC283C">
            <w:pPr>
              <w:overflowPunct/>
              <w:adjustRightInd/>
              <w:jc w:val="left"/>
              <w:textAlignment w:val="auto"/>
              <w:rPr>
                <w:rFonts w:eastAsia="PMingLiU"/>
                <w:szCs w:val="22"/>
                <w:lang w:eastAsia="zh-TW"/>
              </w:rPr>
            </w:pPr>
            <w:r w:rsidRPr="006D6E4A">
              <w:rPr>
                <w:rFonts w:eastAsia="PMingLiU"/>
              </w:rPr>
              <w:lastRenderedPageBreak/>
              <w:t>REFIT initiative - Legislative proposal</w:t>
            </w:r>
          </w:p>
        </w:tc>
        <w:tc>
          <w:tcPr>
            <w:tcW w:w="1233" w:type="dxa"/>
          </w:tcPr>
          <w:p w:rsidR="00137BE5" w:rsidRPr="006D6E4A" w:rsidRDefault="00137BE5" w:rsidP="00BC283C">
            <w:pPr>
              <w:overflowPunct/>
              <w:adjustRightInd/>
              <w:jc w:val="left"/>
              <w:textAlignment w:val="auto"/>
              <w:rPr>
                <w:szCs w:val="22"/>
              </w:rPr>
            </w:pPr>
            <w:r w:rsidRPr="006D6E4A">
              <w:t>tbc</w:t>
            </w:r>
          </w:p>
        </w:tc>
      </w:tr>
      <w:tr w:rsidR="00BD7F91" w:rsidRPr="006D6E4A" w:rsidTr="008869FB">
        <w:tc>
          <w:tcPr>
            <w:tcW w:w="8931" w:type="dxa"/>
            <w:gridSpan w:val="4"/>
          </w:tcPr>
          <w:p w:rsidR="00BD7F91" w:rsidRPr="006D6E4A" w:rsidRDefault="008869FB" w:rsidP="00BC283C">
            <w:pPr>
              <w:overflowPunct/>
              <w:adjustRightInd/>
              <w:jc w:val="left"/>
              <w:textAlignment w:val="auto"/>
              <w:rPr>
                <w:b/>
                <w:i/>
                <w:szCs w:val="22"/>
              </w:rPr>
            </w:pPr>
            <w:r w:rsidRPr="006D6E4A">
              <w:rPr>
                <w:b/>
                <w:i/>
              </w:rPr>
              <w:lastRenderedPageBreak/>
              <w:t>Climate change</w:t>
            </w:r>
            <w:r w:rsidR="00250193" w:rsidRPr="006D6E4A">
              <w:rPr>
                <w:b/>
                <w:i/>
              </w:rPr>
              <w:t xml:space="preserve"> </w:t>
            </w:r>
            <w:r w:rsidR="00BD7F91" w:rsidRPr="006D6E4A">
              <w:rPr>
                <w:b/>
                <w:i/>
              </w:rPr>
              <w:t>policy</w:t>
            </w:r>
            <w:r w:rsidR="00C306A4" w:rsidRPr="006D6E4A">
              <w:rPr>
                <w:b/>
                <w:i/>
              </w:rPr>
              <w:t xml:space="preserve"> - A sustainable European future</w:t>
            </w:r>
          </w:p>
        </w:tc>
      </w:tr>
      <w:tr w:rsidR="00BD7F91" w:rsidRPr="006D6E4A" w:rsidTr="008869FB">
        <w:tc>
          <w:tcPr>
            <w:tcW w:w="2413" w:type="dxa"/>
          </w:tcPr>
          <w:p w:rsidR="00BD7F91" w:rsidRPr="006D6E4A" w:rsidRDefault="005205F6" w:rsidP="00BC283C">
            <w:pPr>
              <w:overflowPunct/>
              <w:adjustRightInd/>
              <w:jc w:val="left"/>
              <w:textAlignment w:val="auto"/>
              <w:rPr>
                <w:szCs w:val="22"/>
              </w:rPr>
            </w:pPr>
            <w:r w:rsidRPr="006D6E4A">
              <w:t>Commission Work Programme 2018</w:t>
            </w:r>
          </w:p>
        </w:tc>
        <w:tc>
          <w:tcPr>
            <w:tcW w:w="3045" w:type="dxa"/>
          </w:tcPr>
          <w:p w:rsidR="00BD7F91" w:rsidRPr="006D6E4A" w:rsidRDefault="00C306A4" w:rsidP="00BC283C">
            <w:pPr>
              <w:overflowPunct/>
              <w:adjustRightInd/>
              <w:textAlignment w:val="auto"/>
              <w:rPr>
                <w:szCs w:val="22"/>
              </w:rPr>
            </w:pPr>
            <w:r w:rsidRPr="006D6E4A">
              <w:t xml:space="preserve">Reflection Paper </w:t>
            </w:r>
            <w:r w:rsidR="002F64A0" w:rsidRPr="006D6E4A">
              <w:t xml:space="preserve">- </w:t>
            </w:r>
            <w:r w:rsidRPr="006D6E4A">
              <w:t>"Towards a Sustainable Europe by 2030, on the follow-up to the UN Sustainable Development Goals, including on the Paris Agreement on Climate Change" (Q2 2018, i</w:t>
            </w:r>
            <w:r w:rsidR="008869FB" w:rsidRPr="006D6E4A">
              <w:rPr>
                <w:i/>
              </w:rPr>
              <w:t>nitiative to be launched with a 2025 perspective)</w:t>
            </w:r>
            <w:r w:rsidR="00137BE5" w:rsidRPr="006D6E4A">
              <w:rPr>
                <w:i/>
              </w:rPr>
              <w:t>;</w:t>
            </w:r>
          </w:p>
        </w:tc>
        <w:tc>
          <w:tcPr>
            <w:tcW w:w="2240" w:type="dxa"/>
          </w:tcPr>
          <w:p w:rsidR="00BD7F91" w:rsidRPr="006D6E4A" w:rsidRDefault="008869FB" w:rsidP="00BC283C">
            <w:pPr>
              <w:overflowPunct/>
              <w:adjustRightInd/>
              <w:jc w:val="left"/>
              <w:textAlignment w:val="auto"/>
              <w:rPr>
                <w:rFonts w:eastAsia="PMingLiU"/>
                <w:szCs w:val="22"/>
                <w:lang w:eastAsia="zh-TW"/>
              </w:rPr>
            </w:pPr>
            <w:r w:rsidRPr="006D6E4A">
              <w:rPr>
                <w:rFonts w:eastAsia="PMingLiU"/>
              </w:rPr>
              <w:t>N</w:t>
            </w:r>
            <w:r w:rsidR="00BD7F91" w:rsidRPr="006D6E4A">
              <w:rPr>
                <w:rFonts w:eastAsia="PMingLiU"/>
              </w:rPr>
              <w:t>on legislative proposal</w:t>
            </w:r>
          </w:p>
        </w:tc>
        <w:tc>
          <w:tcPr>
            <w:tcW w:w="1233" w:type="dxa"/>
          </w:tcPr>
          <w:p w:rsidR="00BD7F91" w:rsidRPr="006D6E4A" w:rsidRDefault="00BD7F91" w:rsidP="00BC283C">
            <w:pPr>
              <w:overflowPunct/>
              <w:adjustRightInd/>
              <w:jc w:val="left"/>
              <w:textAlignment w:val="auto"/>
              <w:rPr>
                <w:szCs w:val="22"/>
              </w:rPr>
            </w:pPr>
            <w:r w:rsidRPr="006D6E4A">
              <w:t>tbc</w:t>
            </w:r>
          </w:p>
        </w:tc>
      </w:tr>
    </w:tbl>
    <w:p w:rsidR="00BD7F91" w:rsidRPr="006D6E4A" w:rsidRDefault="00BD7F91" w:rsidP="00BC283C">
      <w:pPr>
        <w:overflowPunct/>
        <w:adjustRightInd/>
        <w:jc w:val="center"/>
        <w:textAlignment w:val="auto"/>
      </w:pPr>
    </w:p>
    <w:p w:rsidR="00FA3F90" w:rsidRPr="006D6E4A" w:rsidRDefault="00BD7F91" w:rsidP="00BC283C">
      <w:pPr>
        <w:overflowPunct/>
        <w:adjustRightInd/>
        <w:jc w:val="center"/>
        <w:textAlignment w:val="auto"/>
      </w:pPr>
      <w:r w:rsidRPr="006D6E4A">
        <w:t>___________</w:t>
      </w:r>
    </w:p>
    <w:p w:rsidR="009E052D" w:rsidRPr="006D6E4A" w:rsidRDefault="009E052D" w:rsidP="00BC283C">
      <w:pPr>
        <w:overflowPunct/>
        <w:adjustRightInd/>
        <w:spacing w:after="200" w:line="276" w:lineRule="auto"/>
        <w:jc w:val="left"/>
        <w:textAlignment w:val="auto"/>
      </w:pPr>
      <w:r w:rsidRPr="006D6E4A">
        <w:br w:type="page"/>
      </w:r>
    </w:p>
    <w:p w:rsidR="009E052D" w:rsidRPr="006D6E4A" w:rsidRDefault="009E052D" w:rsidP="00BC283C">
      <w:pPr>
        <w:overflowPunct/>
        <w:adjustRightInd/>
        <w:jc w:val="left"/>
        <w:textAlignment w:val="auto"/>
        <w:rPr>
          <w:b/>
        </w:rPr>
      </w:pPr>
    </w:p>
    <w:p w:rsidR="009E052D" w:rsidRPr="006D6E4A" w:rsidRDefault="009E052D" w:rsidP="00BC283C">
      <w:pPr>
        <w:suppressLineNumbers/>
        <w:suppressAutoHyphens/>
        <w:overflowPunct/>
        <w:adjustRightInd/>
        <w:jc w:val="center"/>
        <w:textAlignment w:val="auto"/>
        <w:rPr>
          <w:b/>
        </w:rPr>
      </w:pPr>
      <w:r w:rsidRPr="006D6E4A">
        <w:rPr>
          <w:b/>
        </w:rPr>
        <w:t>APPENDIX III</w:t>
      </w:r>
    </w:p>
    <w:p w:rsidR="009E052D" w:rsidRPr="006D6E4A" w:rsidRDefault="009E052D" w:rsidP="00BC283C">
      <w:pPr>
        <w:overflowPunct/>
        <w:adjustRightInd/>
        <w:jc w:val="center"/>
        <w:textAlignment w:val="auto"/>
        <w:rPr>
          <w:b/>
        </w:rPr>
      </w:pPr>
    </w:p>
    <w:p w:rsidR="009E052D" w:rsidRPr="006D6E4A" w:rsidRDefault="009E052D" w:rsidP="00BC283C">
      <w:pPr>
        <w:overflowPunct/>
        <w:adjustRightInd/>
        <w:jc w:val="center"/>
        <w:textAlignment w:val="auto"/>
        <w:rPr>
          <w:b/>
        </w:rPr>
      </w:pPr>
      <w:r w:rsidRPr="006D6E4A">
        <w:rPr>
          <w:b/>
        </w:rPr>
        <w:t xml:space="preserve">Explanatory sheet for each Priority Policy </w:t>
      </w:r>
      <w:r w:rsidR="00B00E9C" w:rsidRPr="006D6E4A">
        <w:rPr>
          <w:b/>
        </w:rPr>
        <w:t>Area</w:t>
      </w:r>
    </w:p>
    <w:p w:rsidR="009E052D" w:rsidRPr="006D6E4A" w:rsidRDefault="009E052D" w:rsidP="00BC283C">
      <w:pPr>
        <w:overflowPunct/>
        <w:adjustRightInd/>
        <w:textAlignment w:val="auto"/>
      </w:pPr>
    </w:p>
    <w:tbl>
      <w:tblPr>
        <w:tblStyle w:val="TableGrid"/>
        <w:tblW w:w="0" w:type="auto"/>
        <w:tblLook w:val="04A0" w:firstRow="1" w:lastRow="0" w:firstColumn="1" w:lastColumn="0" w:noHBand="0" w:noVBand="1"/>
      </w:tblPr>
      <w:tblGrid>
        <w:gridCol w:w="1951"/>
        <w:gridCol w:w="992"/>
        <w:gridCol w:w="6224"/>
      </w:tblGrid>
      <w:tr w:rsidR="003D2CEB" w:rsidRPr="006D6E4A" w:rsidTr="00B54B31">
        <w:trPr>
          <w:trHeight w:val="598"/>
        </w:trPr>
        <w:tc>
          <w:tcPr>
            <w:tcW w:w="2943" w:type="dxa"/>
            <w:gridSpan w:val="2"/>
            <w:vAlign w:val="center"/>
          </w:tcPr>
          <w:p w:rsidR="003D2CEB" w:rsidRPr="006D6E4A" w:rsidRDefault="003D2CEB" w:rsidP="00BC283C">
            <w:pPr>
              <w:overflowPunct/>
              <w:adjustRightInd/>
              <w:jc w:val="center"/>
              <w:textAlignment w:val="auto"/>
              <w:rPr>
                <w:b/>
                <w:sz w:val="28"/>
                <w:szCs w:val="28"/>
              </w:rPr>
            </w:pPr>
            <w:r w:rsidRPr="006D6E4A">
              <w:rPr>
                <w:b/>
                <w:sz w:val="28"/>
              </w:rPr>
              <w:t>Policy area</w:t>
            </w:r>
          </w:p>
        </w:tc>
        <w:tc>
          <w:tcPr>
            <w:tcW w:w="6224" w:type="dxa"/>
          </w:tcPr>
          <w:p w:rsidR="003D2CEB" w:rsidRPr="006D6E4A" w:rsidRDefault="00AA005A" w:rsidP="00BC283C">
            <w:pPr>
              <w:overflowPunct/>
              <w:adjustRightInd/>
              <w:jc w:val="center"/>
              <w:textAlignment w:val="auto"/>
              <w:rPr>
                <w:szCs w:val="22"/>
              </w:rPr>
            </w:pPr>
            <w:r w:rsidRPr="006D6E4A">
              <w:t>The c</w:t>
            </w:r>
            <w:r w:rsidR="00C306A4" w:rsidRPr="006D6E4A">
              <w:t>ircular economy</w:t>
            </w:r>
            <w:r w:rsidR="009E29B2" w:rsidRPr="006D6E4A">
              <w:t xml:space="preserve"> and </w:t>
            </w:r>
            <w:r w:rsidR="00F82722" w:rsidRPr="006D6E4A">
              <w:t xml:space="preserve">the </w:t>
            </w:r>
            <w:r w:rsidR="009E29B2" w:rsidRPr="006D6E4A">
              <w:t>Environment</w:t>
            </w:r>
          </w:p>
        </w:tc>
      </w:tr>
      <w:tr w:rsidR="003D2CEB" w:rsidRPr="006D6E4A" w:rsidTr="00B54B31">
        <w:trPr>
          <w:trHeight w:val="549"/>
        </w:trPr>
        <w:tc>
          <w:tcPr>
            <w:tcW w:w="2943" w:type="dxa"/>
            <w:gridSpan w:val="2"/>
            <w:vAlign w:val="center"/>
          </w:tcPr>
          <w:p w:rsidR="003D2CEB" w:rsidRPr="006D6E4A" w:rsidRDefault="003D2CEB" w:rsidP="00BC283C">
            <w:pPr>
              <w:overflowPunct/>
              <w:adjustRightInd/>
              <w:jc w:val="left"/>
              <w:textAlignment w:val="auto"/>
              <w:rPr>
                <w:b/>
                <w:i/>
                <w:sz w:val="24"/>
                <w:szCs w:val="24"/>
              </w:rPr>
            </w:pPr>
            <w:r w:rsidRPr="006D6E4A">
              <w:rPr>
                <w:b/>
                <w:i/>
                <w:sz w:val="24"/>
              </w:rPr>
              <w:t>CoR commission</w:t>
            </w:r>
          </w:p>
        </w:tc>
        <w:tc>
          <w:tcPr>
            <w:tcW w:w="6224" w:type="dxa"/>
          </w:tcPr>
          <w:p w:rsidR="003D2CEB" w:rsidRPr="006D6E4A" w:rsidRDefault="00045690" w:rsidP="00BC283C">
            <w:pPr>
              <w:overflowPunct/>
              <w:adjustRightInd/>
              <w:jc w:val="center"/>
              <w:textAlignment w:val="auto"/>
              <w:rPr>
                <w:szCs w:val="22"/>
              </w:rPr>
            </w:pPr>
            <w:r w:rsidRPr="006D6E4A">
              <w:t>ENVE</w:t>
            </w:r>
          </w:p>
        </w:tc>
      </w:tr>
      <w:tr w:rsidR="003D2CEB" w:rsidRPr="006D6E4A" w:rsidTr="00B54B31">
        <w:tc>
          <w:tcPr>
            <w:tcW w:w="1951" w:type="dxa"/>
          </w:tcPr>
          <w:p w:rsidR="003D2CEB" w:rsidRPr="006D6E4A" w:rsidRDefault="003D2CEB" w:rsidP="00BC283C">
            <w:pPr>
              <w:overflowPunct/>
              <w:adjustRightInd/>
              <w:spacing w:after="200" w:line="276" w:lineRule="auto"/>
              <w:jc w:val="left"/>
              <w:textAlignment w:val="auto"/>
              <w:rPr>
                <w:szCs w:val="22"/>
              </w:rPr>
            </w:pPr>
            <w:r w:rsidRPr="006D6E4A">
              <w:t>Reference to the policy priorities of the CoR</w:t>
            </w:r>
          </w:p>
        </w:tc>
        <w:tc>
          <w:tcPr>
            <w:tcW w:w="7216" w:type="dxa"/>
            <w:gridSpan w:val="2"/>
          </w:tcPr>
          <w:p w:rsidR="003D2CEB" w:rsidRPr="006D6E4A" w:rsidRDefault="003D2CEB" w:rsidP="00BC283C">
            <w:pPr>
              <w:overflowPunct/>
              <w:adjustRightInd/>
              <w:jc w:val="left"/>
              <w:textAlignment w:val="auto"/>
              <w:rPr>
                <w:i/>
                <w:color w:val="FF0000"/>
                <w:szCs w:val="22"/>
              </w:rPr>
            </w:pPr>
          </w:p>
        </w:tc>
      </w:tr>
      <w:tr w:rsidR="003D2CEB" w:rsidRPr="006D6E4A" w:rsidTr="00B54B31">
        <w:tc>
          <w:tcPr>
            <w:tcW w:w="1951" w:type="dxa"/>
          </w:tcPr>
          <w:p w:rsidR="003D2CEB" w:rsidRPr="006D6E4A" w:rsidRDefault="003D2CEB" w:rsidP="00BC283C">
            <w:pPr>
              <w:overflowPunct/>
              <w:adjustRightInd/>
              <w:jc w:val="left"/>
              <w:textAlignment w:val="auto"/>
            </w:pPr>
            <w:r w:rsidRPr="006D6E4A">
              <w:t xml:space="preserve">Relevance for EU Regional and Local Authorities </w:t>
            </w:r>
          </w:p>
          <w:p w:rsidR="003D2CEB" w:rsidRPr="006D6E4A" w:rsidRDefault="003D2CEB" w:rsidP="00BC283C">
            <w:pPr>
              <w:overflowPunct/>
              <w:adjustRightInd/>
              <w:jc w:val="left"/>
              <w:textAlignment w:val="auto"/>
              <w:rPr>
                <w:szCs w:val="22"/>
              </w:rPr>
            </w:pPr>
          </w:p>
        </w:tc>
        <w:tc>
          <w:tcPr>
            <w:tcW w:w="7216" w:type="dxa"/>
            <w:gridSpan w:val="2"/>
          </w:tcPr>
          <w:p w:rsidR="003D2CEB" w:rsidRPr="006D6E4A" w:rsidRDefault="003D2CEB" w:rsidP="00BC283C">
            <w:pPr>
              <w:overflowPunct/>
              <w:adjustRightInd/>
              <w:jc w:val="left"/>
              <w:textAlignment w:val="auto"/>
              <w:rPr>
                <w:color w:val="FF0000"/>
                <w:szCs w:val="22"/>
              </w:rPr>
            </w:pPr>
          </w:p>
        </w:tc>
      </w:tr>
      <w:tr w:rsidR="003D2CEB" w:rsidRPr="006D6E4A" w:rsidTr="00B54B31">
        <w:tc>
          <w:tcPr>
            <w:tcW w:w="1951" w:type="dxa"/>
          </w:tcPr>
          <w:p w:rsidR="003D2CEB" w:rsidRPr="006D6E4A" w:rsidRDefault="003D2CEB" w:rsidP="00BC283C">
            <w:pPr>
              <w:overflowPunct/>
              <w:adjustRightInd/>
              <w:jc w:val="left"/>
              <w:textAlignment w:val="auto"/>
            </w:pPr>
            <w:r w:rsidRPr="006D6E4A">
              <w:t>Policy objectives, key challenges and impact indicators</w:t>
            </w:r>
          </w:p>
          <w:p w:rsidR="003D2CEB" w:rsidRPr="006D6E4A" w:rsidRDefault="003D2CEB" w:rsidP="00BC283C">
            <w:pPr>
              <w:overflowPunct/>
              <w:adjustRightInd/>
              <w:jc w:val="left"/>
              <w:textAlignment w:val="auto"/>
              <w:rPr>
                <w:szCs w:val="22"/>
              </w:rPr>
            </w:pPr>
          </w:p>
        </w:tc>
        <w:tc>
          <w:tcPr>
            <w:tcW w:w="7216" w:type="dxa"/>
            <w:gridSpan w:val="2"/>
          </w:tcPr>
          <w:p w:rsidR="005B635E" w:rsidRPr="006D6E4A" w:rsidRDefault="005B635E" w:rsidP="00BC283C">
            <w:pPr>
              <w:overflowPunct/>
              <w:adjustRightInd/>
              <w:textAlignment w:val="auto"/>
            </w:pPr>
            <w:r w:rsidRPr="006D6E4A">
              <w:t xml:space="preserve">Development of an ambitious EU policy and legal framework that assists local and regional authorities in </w:t>
            </w:r>
            <w:r w:rsidR="003D7BF2" w:rsidRPr="006D6E4A">
              <w:t xml:space="preserve">making progress </w:t>
            </w:r>
            <w:r w:rsidRPr="006D6E4A">
              <w:t xml:space="preserve">on sustainable waste management and </w:t>
            </w:r>
            <w:r w:rsidR="00A74033" w:rsidRPr="006D6E4A">
              <w:t xml:space="preserve">the </w:t>
            </w:r>
            <w:r w:rsidRPr="006D6E4A">
              <w:t>circular economy.</w:t>
            </w:r>
          </w:p>
          <w:p w:rsidR="005B635E" w:rsidRPr="006D6E4A" w:rsidRDefault="005B635E" w:rsidP="00BC283C">
            <w:pPr>
              <w:overflowPunct/>
              <w:adjustRightInd/>
              <w:textAlignment w:val="auto"/>
            </w:pPr>
            <w:r w:rsidRPr="006D6E4A">
              <w:t>Reinforce cooperation with the EU Institutions and key European associations of local and regional authorities in the field, whilst achieving a substantial uptake of the recommendations of the upcoming Committee of the Regions' opinion(s) a) by the European Parliament and Council in their co-decision</w:t>
            </w:r>
            <w:r w:rsidR="009553E0" w:rsidRPr="006D6E4A">
              <w:t>-</w:t>
            </w:r>
            <w:r w:rsidRPr="006D6E4A">
              <w:t>making on the waste legislation review, b) by the European Commission in its implementation of the Circular Economy Action Plan and the connected initiatives, and c) in any potential further European Parliament Resolution and Council conclusions on the circular economy action plan.</w:t>
            </w:r>
          </w:p>
          <w:p w:rsidR="003D2CEB" w:rsidRPr="006D6E4A" w:rsidRDefault="005B635E" w:rsidP="00BC283C">
            <w:pPr>
              <w:overflowPunct/>
              <w:adjustRightInd/>
              <w:jc w:val="left"/>
              <w:textAlignment w:val="auto"/>
              <w:rPr>
                <w:i/>
                <w:color w:val="FF0000"/>
                <w:szCs w:val="22"/>
              </w:rPr>
            </w:pPr>
            <w:r w:rsidRPr="006D6E4A">
              <w:t xml:space="preserve">The impact of the </w:t>
            </w:r>
            <w:proofErr w:type="spellStart"/>
            <w:r w:rsidRPr="006D6E4A">
              <w:t>CoR</w:t>
            </w:r>
            <w:r w:rsidR="00CF0267" w:rsidRPr="006D6E4A">
              <w:t>'s</w:t>
            </w:r>
            <w:proofErr w:type="spellEnd"/>
            <w:r w:rsidRPr="006D6E4A">
              <w:t xml:space="preserve"> activities and opinions will be related to how far they succeeded in </w:t>
            </w:r>
            <w:r w:rsidR="00F33ABC" w:rsidRPr="006D6E4A">
              <w:t xml:space="preserve">the sense that </w:t>
            </w:r>
            <w:r w:rsidRPr="006D6E4A">
              <w:t>the other EU institutions incorporated them in their positions.</w:t>
            </w:r>
          </w:p>
        </w:tc>
      </w:tr>
      <w:tr w:rsidR="003D2CEB" w:rsidRPr="006D6E4A" w:rsidTr="00B54B31">
        <w:tc>
          <w:tcPr>
            <w:tcW w:w="1951" w:type="dxa"/>
          </w:tcPr>
          <w:p w:rsidR="003D2CEB" w:rsidRPr="006D6E4A" w:rsidRDefault="003D2CEB" w:rsidP="00BC283C">
            <w:pPr>
              <w:overflowPunct/>
              <w:adjustRightInd/>
              <w:jc w:val="left"/>
              <w:textAlignment w:val="auto"/>
              <w:rPr>
                <w:szCs w:val="22"/>
              </w:rPr>
            </w:pPr>
            <w:r w:rsidRPr="006D6E4A">
              <w:t>Progress report summary o</w:t>
            </w:r>
            <w:r w:rsidR="00930A13" w:rsidRPr="006D6E4A">
              <w:t>f</w:t>
            </w:r>
            <w:r w:rsidRPr="006D6E4A">
              <w:t xml:space="preserve"> the fulfilment </w:t>
            </w:r>
            <w:r w:rsidR="003C645C" w:rsidRPr="006D6E4A">
              <w:t>of the policy objectives in 2017</w:t>
            </w:r>
          </w:p>
        </w:tc>
        <w:tc>
          <w:tcPr>
            <w:tcW w:w="7216" w:type="dxa"/>
            <w:gridSpan w:val="2"/>
          </w:tcPr>
          <w:p w:rsidR="003C645C" w:rsidRPr="006D6E4A" w:rsidRDefault="00B92E83" w:rsidP="00BC283C">
            <w:pPr>
              <w:overflowPunct/>
              <w:adjustRightInd/>
              <w:jc w:val="left"/>
              <w:textAlignment w:val="auto"/>
            </w:pPr>
            <w:r w:rsidRPr="006D6E4A">
              <w:t>I</w:t>
            </w:r>
            <w:r w:rsidR="00930A13" w:rsidRPr="006D6E4A">
              <w:t>n January</w:t>
            </w:r>
            <w:r w:rsidRPr="006D6E4A">
              <w:t>,</w:t>
            </w:r>
            <w:r w:rsidR="00930A13" w:rsidRPr="006D6E4A">
              <w:t xml:space="preserve"> </w:t>
            </w:r>
            <w:r w:rsidRPr="006D6E4A">
              <w:t>t</w:t>
            </w:r>
            <w:r w:rsidR="003C645C" w:rsidRPr="006D6E4A">
              <w:t xml:space="preserve">he European Commission adopted the report on progress on the Circular Economy Action Plan and the Communication on </w:t>
            </w:r>
            <w:r w:rsidR="007556A0" w:rsidRPr="006D6E4A">
              <w:t>waste-</w:t>
            </w:r>
            <w:r w:rsidR="003C645C" w:rsidRPr="006D6E4A">
              <w:t>to</w:t>
            </w:r>
            <w:r w:rsidR="007556A0" w:rsidRPr="006D6E4A">
              <w:t>-</w:t>
            </w:r>
            <w:r w:rsidR="003C645C" w:rsidRPr="006D6E4A">
              <w:t>energy.</w:t>
            </w:r>
          </w:p>
          <w:p w:rsidR="00B81B31" w:rsidRPr="006D6E4A" w:rsidRDefault="00B81B31" w:rsidP="00BC283C">
            <w:pPr>
              <w:overflowPunct/>
              <w:adjustRightInd/>
              <w:jc w:val="left"/>
              <w:textAlignment w:val="auto"/>
            </w:pPr>
            <w:r w:rsidRPr="006D6E4A">
              <w:t xml:space="preserve">The CoR opinion on </w:t>
            </w:r>
            <w:r w:rsidRPr="006D6E4A">
              <w:rPr>
                <w:i/>
              </w:rPr>
              <w:t>The role of waste-to-energy in the circular economy</w:t>
            </w:r>
            <w:r w:rsidRPr="006D6E4A">
              <w:t xml:space="preserve"> is scheduled for adoption </w:t>
            </w:r>
            <w:r w:rsidR="0073515A" w:rsidRPr="006D6E4A">
              <w:t xml:space="preserve">at </w:t>
            </w:r>
            <w:r w:rsidRPr="006D6E4A">
              <w:t>the last plenary of 2017.</w:t>
            </w:r>
          </w:p>
          <w:p w:rsidR="003C645C" w:rsidRPr="006D6E4A" w:rsidRDefault="003C645C" w:rsidP="00BC283C">
            <w:pPr>
              <w:overflowPunct/>
              <w:adjustRightInd/>
              <w:jc w:val="left"/>
              <w:textAlignment w:val="auto"/>
            </w:pPr>
            <w:r w:rsidRPr="006D6E4A">
              <w:t xml:space="preserve">The CoR president spoke at the launch of the EU stakeholder's platform on </w:t>
            </w:r>
            <w:r w:rsidR="002174F8" w:rsidRPr="006D6E4A">
              <w:t xml:space="preserve">the </w:t>
            </w:r>
            <w:r w:rsidRPr="006D6E4A">
              <w:t>circular economy.</w:t>
            </w:r>
          </w:p>
          <w:p w:rsidR="003C645C" w:rsidRPr="006D6E4A" w:rsidRDefault="003C645C" w:rsidP="00BC283C">
            <w:pPr>
              <w:overflowPunct/>
              <w:adjustRightInd/>
              <w:jc w:val="left"/>
              <w:textAlignment w:val="auto"/>
            </w:pPr>
            <w:r w:rsidRPr="006D6E4A">
              <w:t>The rapporteur on the Circular Economy Action Plan, Ms Winter, spoke at the Conference of the Network of the Environmental Protection Agencies on "Recommendations towards the EU Plastics Strategy".</w:t>
            </w:r>
          </w:p>
          <w:p w:rsidR="002C72D9" w:rsidRPr="006D6E4A" w:rsidRDefault="002C72D9" w:rsidP="00BC283C">
            <w:pPr>
              <w:overflowPunct/>
              <w:adjustRightInd/>
              <w:jc w:val="left"/>
              <w:textAlignment w:val="auto"/>
            </w:pPr>
            <w:r w:rsidRPr="006D6E4A">
              <w:t xml:space="preserve">Both Ms Winter and Mr Gambacorta (Rapporteur on Legislative proposals amending waste directives) will participate </w:t>
            </w:r>
            <w:r w:rsidR="003C6A9F" w:rsidRPr="006D6E4A">
              <w:t xml:space="preserve">in </w:t>
            </w:r>
            <w:r w:rsidRPr="006D6E4A">
              <w:t xml:space="preserve">the Workshop </w:t>
            </w:r>
            <w:r w:rsidR="00C731B3" w:rsidRPr="006D6E4A">
              <w:t xml:space="preserve">on </w:t>
            </w:r>
            <w:r w:rsidRPr="006D6E4A">
              <w:t>"Municipal Waste Management and Prevention", 11th meeting of the CoR/EC Technical Platform for Cooperation on the Environment.</w:t>
            </w:r>
          </w:p>
          <w:p w:rsidR="003D2CEB" w:rsidRPr="006D6E4A" w:rsidRDefault="003C645C" w:rsidP="00BC283C">
            <w:pPr>
              <w:overflowPunct/>
              <w:adjustRightInd/>
              <w:jc w:val="left"/>
              <w:textAlignment w:val="auto"/>
              <w:rPr>
                <w:i/>
                <w:color w:val="FF0000"/>
                <w:szCs w:val="22"/>
              </w:rPr>
            </w:pPr>
            <w:r w:rsidRPr="006D6E4A">
              <w:t>T</w:t>
            </w:r>
            <w:r w:rsidR="003A3A7C" w:rsidRPr="006D6E4A">
              <w:t>he co-</w:t>
            </w:r>
            <w:r w:rsidR="00C2703B" w:rsidRPr="006D6E4A">
              <w:t>decision-</w:t>
            </w:r>
            <w:r w:rsidR="003A3A7C" w:rsidRPr="006D6E4A">
              <w:t xml:space="preserve">making on the waste legislation review is ongoing, and the European Commission is </w:t>
            </w:r>
            <w:r w:rsidRPr="006D6E4A">
              <w:t xml:space="preserve">planning to introduce the new initiatives for </w:t>
            </w:r>
            <w:r w:rsidRPr="006D6E4A">
              <w:lastRenderedPageBreak/>
              <w:t>delivering on the Circular Economy Action Plan in 2018. On both aspects progress will be assessed at a later date.</w:t>
            </w:r>
          </w:p>
        </w:tc>
      </w:tr>
      <w:tr w:rsidR="003D2CEB" w:rsidRPr="006D6E4A" w:rsidTr="00B54B31">
        <w:tc>
          <w:tcPr>
            <w:tcW w:w="1951" w:type="dxa"/>
          </w:tcPr>
          <w:p w:rsidR="003D2CEB" w:rsidRPr="006D6E4A" w:rsidRDefault="003D2CEB" w:rsidP="00BC283C">
            <w:pPr>
              <w:overflowPunct/>
              <w:adjustRightInd/>
              <w:jc w:val="left"/>
              <w:textAlignment w:val="auto"/>
            </w:pPr>
            <w:r w:rsidRPr="006D6E4A">
              <w:lastRenderedPageBreak/>
              <w:t xml:space="preserve">Proposed CoR actions and support </w:t>
            </w:r>
            <w:r w:rsidR="00790B0D" w:rsidRPr="006D6E4A">
              <w:t xml:space="preserve">activities in 2018 </w:t>
            </w:r>
            <w:r w:rsidRPr="006D6E4A">
              <w:t>with tim</w:t>
            </w:r>
            <w:r w:rsidR="00790B0D" w:rsidRPr="006D6E4A">
              <w:t>e</w:t>
            </w:r>
            <w:r w:rsidRPr="006D6E4A">
              <w:t>line</w:t>
            </w:r>
          </w:p>
          <w:p w:rsidR="003D2CEB" w:rsidRPr="006D6E4A" w:rsidRDefault="003D2CEB" w:rsidP="00BC283C">
            <w:pPr>
              <w:overflowPunct/>
              <w:adjustRightInd/>
              <w:jc w:val="left"/>
              <w:textAlignment w:val="auto"/>
              <w:rPr>
                <w:szCs w:val="22"/>
              </w:rPr>
            </w:pPr>
          </w:p>
        </w:tc>
        <w:tc>
          <w:tcPr>
            <w:tcW w:w="7216" w:type="dxa"/>
            <w:gridSpan w:val="2"/>
          </w:tcPr>
          <w:p w:rsidR="00790B0D" w:rsidRPr="006D6E4A" w:rsidRDefault="00790B0D" w:rsidP="00BC283C">
            <w:pPr>
              <w:overflowPunct/>
              <w:adjustRightInd/>
              <w:textAlignment w:val="auto"/>
            </w:pPr>
            <w:r w:rsidRPr="006D6E4A">
              <w:t>Possible opinions on the 5 initiatives of the European Commission to deliver on the Circular Economy Action Plan.(tbc)</w:t>
            </w:r>
          </w:p>
          <w:p w:rsidR="00790B0D" w:rsidRPr="006D6E4A" w:rsidRDefault="00790B0D" w:rsidP="00BC283C">
            <w:pPr>
              <w:overflowPunct/>
              <w:adjustRightInd/>
              <w:textAlignment w:val="auto"/>
            </w:pPr>
            <w:r w:rsidRPr="006D6E4A">
              <w:t>Bilateral meetings between CoR rapporteur(s) and European Parliament rapporteur(s) and shadow rapporteurs, and with EU Presidencies (timing tbc).</w:t>
            </w:r>
          </w:p>
          <w:p w:rsidR="00790B0D" w:rsidRPr="006D6E4A" w:rsidRDefault="00790B0D" w:rsidP="00BC283C">
            <w:pPr>
              <w:overflowPunct/>
              <w:adjustRightInd/>
              <w:textAlignment w:val="auto"/>
            </w:pPr>
            <w:r w:rsidRPr="006D6E4A">
              <w:t xml:space="preserve">Cooperation on </w:t>
            </w:r>
            <w:r w:rsidR="00F46F01" w:rsidRPr="006D6E4A">
              <w:t xml:space="preserve">the </w:t>
            </w:r>
            <w:r w:rsidRPr="006D6E4A">
              <w:t>European Week of Waste Reduction (award in May).</w:t>
            </w:r>
          </w:p>
          <w:p w:rsidR="00790B0D" w:rsidRPr="006D6E4A" w:rsidRDefault="00790B0D" w:rsidP="00BC283C">
            <w:pPr>
              <w:overflowPunct/>
              <w:adjustRightInd/>
              <w:textAlignment w:val="auto"/>
            </w:pPr>
            <w:r w:rsidRPr="006D6E4A">
              <w:t xml:space="preserve">Cooperation on </w:t>
            </w:r>
            <w:r w:rsidR="00F46F01" w:rsidRPr="006D6E4A">
              <w:t xml:space="preserve">the </w:t>
            </w:r>
            <w:r w:rsidRPr="006D6E4A">
              <w:t>Circular Economy Stakeholder Platform (tbc).</w:t>
            </w:r>
          </w:p>
          <w:p w:rsidR="003D2CEB" w:rsidRPr="006D6E4A" w:rsidRDefault="00790B0D" w:rsidP="00BC283C">
            <w:pPr>
              <w:overflowPunct/>
              <w:adjustRightInd/>
              <w:jc w:val="left"/>
              <w:textAlignment w:val="auto"/>
              <w:rPr>
                <w:i/>
                <w:color w:val="FF0000"/>
                <w:szCs w:val="22"/>
              </w:rPr>
            </w:pPr>
            <w:r w:rsidRPr="006D6E4A">
              <w:t>Targeted communication on all activities mentioned (timing tbc).</w:t>
            </w:r>
          </w:p>
        </w:tc>
      </w:tr>
      <w:tr w:rsidR="003D2CEB" w:rsidRPr="006D6E4A" w:rsidTr="00B54B31">
        <w:tc>
          <w:tcPr>
            <w:tcW w:w="1951" w:type="dxa"/>
          </w:tcPr>
          <w:p w:rsidR="003D2CEB" w:rsidRPr="006D6E4A" w:rsidRDefault="003D2CEB" w:rsidP="00BC283C">
            <w:pPr>
              <w:overflowPunct/>
              <w:adjustRightInd/>
              <w:jc w:val="left"/>
              <w:textAlignment w:val="auto"/>
              <w:rPr>
                <w:szCs w:val="22"/>
              </w:rPr>
            </w:pPr>
            <w:r w:rsidRPr="006D6E4A">
              <w:t>Key inter-institutional developments for follow-up and indicative timeline for implementation</w:t>
            </w:r>
          </w:p>
        </w:tc>
        <w:tc>
          <w:tcPr>
            <w:tcW w:w="7216" w:type="dxa"/>
            <w:gridSpan w:val="2"/>
          </w:tcPr>
          <w:p w:rsidR="005C6A95" w:rsidRPr="006D6E4A" w:rsidRDefault="005C6A95" w:rsidP="00BC283C">
            <w:pPr>
              <w:tabs>
                <w:tab w:val="left" w:pos="2968"/>
              </w:tabs>
              <w:overflowPunct/>
              <w:adjustRightInd/>
              <w:textAlignment w:val="auto"/>
            </w:pPr>
            <w:r w:rsidRPr="006D6E4A">
              <w:t xml:space="preserve">Closing in 2018 of </w:t>
            </w:r>
            <w:proofErr w:type="spellStart"/>
            <w:r w:rsidRPr="006D6E4A">
              <w:t>Trilogues</w:t>
            </w:r>
            <w:proofErr w:type="spellEnd"/>
            <w:r w:rsidRPr="006D6E4A">
              <w:t xml:space="preserve"> on legislative proposals amending waste directives (tbc).</w:t>
            </w:r>
          </w:p>
          <w:p w:rsidR="005C6A95" w:rsidRPr="006D6E4A" w:rsidRDefault="00687575" w:rsidP="00BC283C">
            <w:pPr>
              <w:tabs>
                <w:tab w:val="left" w:pos="2968"/>
              </w:tabs>
              <w:overflowPunct/>
              <w:adjustRightInd/>
              <w:textAlignment w:val="auto"/>
            </w:pPr>
            <w:r w:rsidRPr="006D6E4A">
              <w:t>Initiatives of the European Commission to deliver on the Circular Economy Action Plan:</w:t>
            </w:r>
          </w:p>
          <w:p w:rsidR="00687575" w:rsidRPr="006D6E4A" w:rsidRDefault="00BC283C" w:rsidP="00BC283C">
            <w:pPr>
              <w:pStyle w:val="ListParagraph"/>
              <w:numPr>
                <w:ilvl w:val="0"/>
                <w:numId w:val="30"/>
              </w:numPr>
              <w:overflowPunct/>
              <w:spacing w:line="240" w:lineRule="auto"/>
              <w:jc w:val="left"/>
              <w:textAlignment w:val="auto"/>
              <w:rPr>
                <w:color w:val="000000"/>
                <w:sz w:val="20"/>
              </w:rPr>
            </w:pPr>
            <w:r w:rsidRPr="006D6E4A">
              <w:t xml:space="preserve">a strategy on plastics use, reuse and recycling (non-legislative, Q4 2017); </w:t>
            </w:r>
          </w:p>
          <w:p w:rsidR="00687575" w:rsidRPr="006D6E4A" w:rsidRDefault="00BC283C" w:rsidP="00BC283C">
            <w:pPr>
              <w:pStyle w:val="ListParagraph"/>
              <w:numPr>
                <w:ilvl w:val="0"/>
                <w:numId w:val="31"/>
              </w:numPr>
              <w:overflowPunct/>
              <w:spacing w:line="240" w:lineRule="auto"/>
              <w:jc w:val="left"/>
              <w:textAlignment w:val="auto"/>
              <w:rPr>
                <w:color w:val="000000"/>
                <w:sz w:val="20"/>
              </w:rPr>
            </w:pPr>
            <w:r w:rsidRPr="006D6E4A">
              <w:t xml:space="preserve">a proposal for a Regulation on minimum quality requirements for reused water (legislative, incl. impact assessment, Art. 192 TFEU, Q4 2017); </w:t>
            </w:r>
          </w:p>
          <w:p w:rsidR="00687575" w:rsidRPr="006D6E4A" w:rsidRDefault="00BC283C" w:rsidP="00BC283C">
            <w:pPr>
              <w:pStyle w:val="ListParagraph"/>
              <w:numPr>
                <w:ilvl w:val="0"/>
                <w:numId w:val="32"/>
              </w:numPr>
              <w:overflowPunct/>
              <w:spacing w:line="240" w:lineRule="auto"/>
              <w:jc w:val="left"/>
              <w:textAlignment w:val="auto"/>
              <w:rPr>
                <w:color w:val="000000"/>
                <w:sz w:val="20"/>
              </w:rPr>
            </w:pPr>
            <w:r w:rsidRPr="006D6E4A">
              <w:t xml:space="preserve">a REFIT revision of the Drinking Water Directive (legislative, incl. impact assessment, Art. 192 TFEU, Q4 2017); </w:t>
            </w:r>
          </w:p>
          <w:p w:rsidR="00687575" w:rsidRPr="006D6E4A" w:rsidRDefault="00BC283C" w:rsidP="00BC283C">
            <w:pPr>
              <w:pStyle w:val="ListParagraph"/>
              <w:numPr>
                <w:ilvl w:val="0"/>
                <w:numId w:val="33"/>
              </w:numPr>
              <w:overflowPunct/>
              <w:spacing w:line="240" w:lineRule="auto"/>
              <w:jc w:val="left"/>
              <w:textAlignment w:val="auto"/>
              <w:rPr>
                <w:color w:val="000000"/>
                <w:sz w:val="20"/>
              </w:rPr>
            </w:pPr>
            <w:r w:rsidRPr="006D6E4A">
              <w:t>an initiative to address legal, technical or practical bottlenecks at the interface of chemical, product and waste legislation (non-legislative, Q4 2017);</w:t>
            </w:r>
          </w:p>
          <w:p w:rsidR="00687575" w:rsidRPr="006D6E4A" w:rsidRDefault="00BC283C" w:rsidP="00BC283C">
            <w:pPr>
              <w:pStyle w:val="ListParagraph"/>
              <w:numPr>
                <w:ilvl w:val="0"/>
                <w:numId w:val="34"/>
              </w:numPr>
              <w:overflowPunct/>
              <w:spacing w:line="240" w:lineRule="auto"/>
              <w:jc w:val="left"/>
              <w:textAlignment w:val="auto"/>
              <w:rPr>
                <w:color w:val="000000"/>
                <w:sz w:val="20"/>
              </w:rPr>
            </w:pPr>
            <w:r w:rsidRPr="006D6E4A">
              <w:t>a monitoring framework for the circular economy (non-legislative, Q4 2017)</w:t>
            </w:r>
            <w:r w:rsidRPr="006D6E4A">
              <w:rPr>
                <w:color w:val="000000"/>
                <w:sz w:val="20"/>
              </w:rPr>
              <w:t xml:space="preserve"> </w:t>
            </w:r>
          </w:p>
          <w:p w:rsidR="003D2CEB" w:rsidRPr="006D6E4A" w:rsidRDefault="003D2CEB" w:rsidP="00BC283C">
            <w:pPr>
              <w:overflowPunct/>
              <w:adjustRightInd/>
              <w:jc w:val="left"/>
              <w:textAlignment w:val="auto"/>
              <w:rPr>
                <w:i/>
                <w:color w:val="FF0000"/>
                <w:szCs w:val="22"/>
              </w:rPr>
            </w:pPr>
          </w:p>
        </w:tc>
      </w:tr>
    </w:tbl>
    <w:p w:rsidR="009E052D" w:rsidRPr="006D6E4A" w:rsidRDefault="009E052D" w:rsidP="00BC283C">
      <w:pPr>
        <w:overflowPunct/>
        <w:adjustRightInd/>
        <w:jc w:val="center"/>
        <w:textAlignment w:val="auto"/>
      </w:pPr>
    </w:p>
    <w:tbl>
      <w:tblPr>
        <w:tblStyle w:val="TableGrid"/>
        <w:tblW w:w="0" w:type="auto"/>
        <w:tblLook w:val="04A0" w:firstRow="1" w:lastRow="0" w:firstColumn="1" w:lastColumn="0" w:noHBand="0" w:noVBand="1"/>
      </w:tblPr>
      <w:tblGrid>
        <w:gridCol w:w="1951"/>
        <w:gridCol w:w="992"/>
        <w:gridCol w:w="6224"/>
      </w:tblGrid>
      <w:tr w:rsidR="009E052D" w:rsidRPr="006D6E4A" w:rsidTr="00892A22">
        <w:trPr>
          <w:trHeight w:val="598"/>
        </w:trPr>
        <w:tc>
          <w:tcPr>
            <w:tcW w:w="2943" w:type="dxa"/>
            <w:gridSpan w:val="2"/>
            <w:vAlign w:val="center"/>
          </w:tcPr>
          <w:p w:rsidR="009E052D" w:rsidRPr="006D6E4A" w:rsidRDefault="009E052D" w:rsidP="00BC283C">
            <w:pPr>
              <w:overflowPunct/>
              <w:adjustRightInd/>
              <w:jc w:val="center"/>
              <w:textAlignment w:val="auto"/>
              <w:rPr>
                <w:b/>
                <w:sz w:val="28"/>
                <w:szCs w:val="28"/>
              </w:rPr>
            </w:pPr>
            <w:r w:rsidRPr="006D6E4A">
              <w:rPr>
                <w:b/>
                <w:sz w:val="28"/>
              </w:rPr>
              <w:t xml:space="preserve">Policy </w:t>
            </w:r>
            <w:r w:rsidR="00B00E9C" w:rsidRPr="006D6E4A">
              <w:rPr>
                <w:b/>
                <w:sz w:val="28"/>
              </w:rPr>
              <w:t>area</w:t>
            </w:r>
          </w:p>
        </w:tc>
        <w:tc>
          <w:tcPr>
            <w:tcW w:w="6224" w:type="dxa"/>
            <w:vAlign w:val="center"/>
          </w:tcPr>
          <w:p w:rsidR="009E052D" w:rsidRPr="006D6E4A" w:rsidRDefault="00892A22" w:rsidP="00BC283C">
            <w:pPr>
              <w:overflowPunct/>
              <w:adjustRightInd/>
              <w:jc w:val="center"/>
              <w:textAlignment w:val="auto"/>
              <w:rPr>
                <w:b/>
                <w:sz w:val="28"/>
                <w:szCs w:val="28"/>
              </w:rPr>
            </w:pPr>
            <w:r w:rsidRPr="006D6E4A">
              <w:rPr>
                <w:b/>
                <w:sz w:val="28"/>
              </w:rPr>
              <w:t>Climate change</w:t>
            </w:r>
          </w:p>
        </w:tc>
      </w:tr>
      <w:tr w:rsidR="009E052D" w:rsidRPr="006D6E4A" w:rsidTr="00892A22">
        <w:trPr>
          <w:trHeight w:val="549"/>
        </w:trPr>
        <w:tc>
          <w:tcPr>
            <w:tcW w:w="2943" w:type="dxa"/>
            <w:gridSpan w:val="2"/>
            <w:vAlign w:val="center"/>
          </w:tcPr>
          <w:p w:rsidR="009E052D" w:rsidRPr="006D6E4A" w:rsidRDefault="009E052D" w:rsidP="00BC283C">
            <w:pPr>
              <w:overflowPunct/>
              <w:adjustRightInd/>
              <w:jc w:val="left"/>
              <w:textAlignment w:val="auto"/>
              <w:rPr>
                <w:b/>
                <w:i/>
                <w:sz w:val="24"/>
                <w:szCs w:val="24"/>
              </w:rPr>
            </w:pPr>
            <w:r w:rsidRPr="006D6E4A">
              <w:rPr>
                <w:b/>
                <w:i/>
                <w:sz w:val="24"/>
              </w:rPr>
              <w:t>CoR commission</w:t>
            </w:r>
          </w:p>
        </w:tc>
        <w:tc>
          <w:tcPr>
            <w:tcW w:w="6224" w:type="dxa"/>
            <w:vAlign w:val="center"/>
          </w:tcPr>
          <w:p w:rsidR="009E052D" w:rsidRPr="006D6E4A" w:rsidRDefault="00892A22" w:rsidP="00BC283C">
            <w:pPr>
              <w:overflowPunct/>
              <w:adjustRightInd/>
              <w:jc w:val="center"/>
              <w:textAlignment w:val="auto"/>
              <w:rPr>
                <w:szCs w:val="22"/>
              </w:rPr>
            </w:pPr>
            <w:r w:rsidRPr="006D6E4A">
              <w:t>ENVE</w:t>
            </w:r>
          </w:p>
        </w:tc>
      </w:tr>
      <w:tr w:rsidR="009E052D" w:rsidRPr="006D6E4A" w:rsidTr="00B54B31">
        <w:tc>
          <w:tcPr>
            <w:tcW w:w="1951" w:type="dxa"/>
          </w:tcPr>
          <w:p w:rsidR="009E052D" w:rsidRPr="006D6E4A" w:rsidRDefault="009E052D" w:rsidP="00BC283C">
            <w:pPr>
              <w:overflowPunct/>
              <w:adjustRightInd/>
              <w:spacing w:after="200" w:line="276" w:lineRule="auto"/>
              <w:jc w:val="left"/>
              <w:textAlignment w:val="auto"/>
              <w:rPr>
                <w:szCs w:val="22"/>
              </w:rPr>
            </w:pPr>
            <w:r w:rsidRPr="006D6E4A">
              <w:t>Reference to the policy priorities of the CoR</w:t>
            </w:r>
          </w:p>
        </w:tc>
        <w:tc>
          <w:tcPr>
            <w:tcW w:w="7216" w:type="dxa"/>
            <w:gridSpan w:val="2"/>
          </w:tcPr>
          <w:p w:rsidR="009E052D" w:rsidRPr="006D6E4A" w:rsidRDefault="009E052D" w:rsidP="00BC283C">
            <w:pPr>
              <w:overflowPunct/>
              <w:adjustRightInd/>
              <w:jc w:val="left"/>
              <w:textAlignment w:val="auto"/>
              <w:rPr>
                <w:i/>
                <w:color w:val="FF0000"/>
                <w:szCs w:val="22"/>
              </w:rPr>
            </w:pPr>
          </w:p>
        </w:tc>
      </w:tr>
      <w:tr w:rsidR="009E052D" w:rsidRPr="006D6E4A" w:rsidTr="00B54B31">
        <w:tc>
          <w:tcPr>
            <w:tcW w:w="1951" w:type="dxa"/>
          </w:tcPr>
          <w:p w:rsidR="009E052D" w:rsidRPr="006D6E4A" w:rsidRDefault="009E052D" w:rsidP="00BC283C">
            <w:pPr>
              <w:overflowPunct/>
              <w:adjustRightInd/>
              <w:jc w:val="left"/>
              <w:textAlignment w:val="auto"/>
            </w:pPr>
            <w:r w:rsidRPr="006D6E4A">
              <w:t xml:space="preserve">Relevance for EU Regional and Local Authorities </w:t>
            </w:r>
          </w:p>
          <w:p w:rsidR="009E052D" w:rsidRPr="006D6E4A" w:rsidRDefault="009E052D" w:rsidP="00BC283C">
            <w:pPr>
              <w:overflowPunct/>
              <w:adjustRightInd/>
              <w:jc w:val="left"/>
              <w:textAlignment w:val="auto"/>
              <w:rPr>
                <w:szCs w:val="22"/>
              </w:rPr>
            </w:pPr>
          </w:p>
        </w:tc>
        <w:tc>
          <w:tcPr>
            <w:tcW w:w="7216" w:type="dxa"/>
            <w:gridSpan w:val="2"/>
          </w:tcPr>
          <w:p w:rsidR="009E052D" w:rsidRPr="006D6E4A" w:rsidRDefault="006F730F" w:rsidP="00BC283C">
            <w:pPr>
              <w:overflowPunct/>
              <w:adjustRightInd/>
              <w:jc w:val="left"/>
              <w:textAlignment w:val="auto"/>
              <w:rPr>
                <w:color w:val="FF0000"/>
                <w:szCs w:val="22"/>
              </w:rPr>
            </w:pPr>
            <w:r w:rsidRPr="006D6E4A">
              <w:t xml:space="preserve">Local and regional authorities play an important role in implementing climate mitigation and adaptation policies. They </w:t>
            </w:r>
            <w:r w:rsidR="00756487" w:rsidRPr="006D6E4A">
              <w:t xml:space="preserve">are </w:t>
            </w:r>
            <w:r w:rsidRPr="006D6E4A">
              <w:t xml:space="preserve">also </w:t>
            </w:r>
            <w:r w:rsidR="00756487" w:rsidRPr="006D6E4A">
              <w:t>involved in</w:t>
            </w:r>
            <w:r w:rsidRPr="006D6E4A">
              <w:t xml:space="preserve"> initiatives and policies, such as the Covenant of Mayors, which often go beyond national targets, especially in the field of mitigation.</w:t>
            </w:r>
          </w:p>
        </w:tc>
      </w:tr>
      <w:tr w:rsidR="009E052D" w:rsidRPr="006D6E4A" w:rsidTr="00B54B31">
        <w:tc>
          <w:tcPr>
            <w:tcW w:w="1951" w:type="dxa"/>
          </w:tcPr>
          <w:p w:rsidR="009E052D" w:rsidRPr="006D6E4A" w:rsidRDefault="009E052D" w:rsidP="00BC283C">
            <w:pPr>
              <w:overflowPunct/>
              <w:adjustRightInd/>
              <w:jc w:val="left"/>
              <w:textAlignment w:val="auto"/>
            </w:pPr>
            <w:r w:rsidRPr="006D6E4A">
              <w:t>Policy objectives, key challenges and impact indicators</w:t>
            </w:r>
          </w:p>
          <w:p w:rsidR="009E052D" w:rsidRPr="006D6E4A" w:rsidRDefault="009E052D" w:rsidP="00BC283C">
            <w:pPr>
              <w:overflowPunct/>
              <w:adjustRightInd/>
              <w:jc w:val="left"/>
              <w:textAlignment w:val="auto"/>
              <w:rPr>
                <w:szCs w:val="22"/>
              </w:rPr>
            </w:pPr>
          </w:p>
        </w:tc>
        <w:tc>
          <w:tcPr>
            <w:tcW w:w="7216" w:type="dxa"/>
            <w:gridSpan w:val="2"/>
          </w:tcPr>
          <w:p w:rsidR="00A30584" w:rsidRPr="006D6E4A" w:rsidRDefault="00BC283C" w:rsidP="00BC283C">
            <w:pPr>
              <w:overflowPunct/>
              <w:adjustRightInd/>
              <w:ind w:left="317" w:hanging="261"/>
              <w:textAlignment w:val="auto"/>
            </w:pPr>
            <w:r w:rsidRPr="006D6E4A">
              <w:t>To support an inclusive global climate governance which integrates the views of cities and regions and takes into account their efforts and contributions to their Nationally Determined Contributions (NDSs);</w:t>
            </w:r>
          </w:p>
          <w:p w:rsidR="00A30584" w:rsidRPr="006D6E4A" w:rsidRDefault="00BC283C" w:rsidP="00BC283C">
            <w:pPr>
              <w:overflowPunct/>
              <w:adjustRightInd/>
              <w:ind w:left="317" w:hanging="261"/>
              <w:textAlignment w:val="auto"/>
            </w:pPr>
            <w:r w:rsidRPr="006D6E4A">
              <w:t>To contribute to put adaptation on an equal footing with mitigation in the political agenda at all levels;</w:t>
            </w:r>
          </w:p>
          <w:p w:rsidR="00A30584" w:rsidRPr="006D6E4A" w:rsidRDefault="00BC283C" w:rsidP="00BC283C">
            <w:pPr>
              <w:overflowPunct/>
              <w:adjustRightInd/>
              <w:ind w:left="317" w:hanging="261"/>
              <w:textAlignment w:val="auto"/>
            </w:pPr>
            <w:r w:rsidRPr="006D6E4A">
              <w:t>To raise awareness and inform members of the opportunities and challenges that are linked to the funding of climate actions at local and regional level;</w:t>
            </w:r>
          </w:p>
          <w:p w:rsidR="009E052D" w:rsidRPr="006D6E4A" w:rsidRDefault="00A30584" w:rsidP="00BC283C">
            <w:pPr>
              <w:overflowPunct/>
              <w:adjustRightInd/>
              <w:ind w:left="317" w:hanging="261"/>
              <w:textAlignment w:val="auto"/>
              <w:rPr>
                <w:szCs w:val="22"/>
              </w:rPr>
            </w:pPr>
            <w:r w:rsidRPr="006D6E4A">
              <w:t xml:space="preserve">To channel feedback </w:t>
            </w:r>
            <w:r w:rsidR="00A53A0C" w:rsidRPr="006D6E4A">
              <w:t xml:space="preserve">from </w:t>
            </w:r>
            <w:r w:rsidRPr="006D6E4A">
              <w:t>regions and cities on how to improve the current design of EU funding mechanisms.</w:t>
            </w:r>
          </w:p>
        </w:tc>
      </w:tr>
      <w:tr w:rsidR="00E62DC7" w:rsidRPr="006D6E4A" w:rsidTr="00B54B31">
        <w:tc>
          <w:tcPr>
            <w:tcW w:w="1951" w:type="dxa"/>
          </w:tcPr>
          <w:p w:rsidR="00E62DC7" w:rsidRPr="006D6E4A" w:rsidRDefault="002616AF" w:rsidP="00BC283C">
            <w:pPr>
              <w:overflowPunct/>
              <w:adjustRightInd/>
              <w:jc w:val="left"/>
              <w:textAlignment w:val="auto"/>
              <w:rPr>
                <w:szCs w:val="22"/>
              </w:rPr>
            </w:pPr>
            <w:r w:rsidRPr="006D6E4A">
              <w:lastRenderedPageBreak/>
              <w:t>Progress</w:t>
            </w:r>
            <w:r w:rsidR="00E62DC7" w:rsidRPr="006D6E4A">
              <w:t xml:space="preserve"> </w:t>
            </w:r>
            <w:r w:rsidRPr="006D6E4A">
              <w:t xml:space="preserve">report </w:t>
            </w:r>
            <w:r w:rsidR="00653FAA" w:rsidRPr="006D6E4A">
              <w:t xml:space="preserve">summary </w:t>
            </w:r>
            <w:r w:rsidRPr="006D6E4A">
              <w:t>on the</w:t>
            </w:r>
            <w:r w:rsidR="00E62DC7" w:rsidRPr="006D6E4A">
              <w:t xml:space="preserve"> fulfilment </w:t>
            </w:r>
            <w:r w:rsidR="00637A26" w:rsidRPr="006D6E4A">
              <w:t>of the policy objectives in 2017</w:t>
            </w:r>
          </w:p>
        </w:tc>
        <w:tc>
          <w:tcPr>
            <w:tcW w:w="7216" w:type="dxa"/>
            <w:gridSpan w:val="2"/>
          </w:tcPr>
          <w:p w:rsidR="00E62DC7" w:rsidRPr="006D6E4A" w:rsidRDefault="00C77F11" w:rsidP="00BC283C">
            <w:pPr>
              <w:overflowPunct/>
              <w:adjustRightInd/>
              <w:jc w:val="left"/>
              <w:textAlignment w:val="auto"/>
            </w:pPr>
            <w:r w:rsidRPr="006D6E4A">
              <w:rPr>
                <w:i/>
              </w:rPr>
              <w:t>Policy objective 1</w:t>
            </w:r>
            <w:r w:rsidRPr="006D6E4A">
              <w:t>: Adaptation is now integrated into the Paris Agreement and is receiving more attention by both policy-makers and investors.</w:t>
            </w:r>
          </w:p>
          <w:p w:rsidR="00C77F11" w:rsidRPr="006D6E4A" w:rsidRDefault="00C77F11" w:rsidP="00BC283C">
            <w:pPr>
              <w:overflowPunct/>
              <w:adjustRightInd/>
              <w:jc w:val="left"/>
              <w:textAlignment w:val="auto"/>
            </w:pPr>
            <w:r w:rsidRPr="006D6E4A">
              <w:rPr>
                <w:i/>
              </w:rPr>
              <w:t>Policy objective 2</w:t>
            </w:r>
            <w:r w:rsidRPr="006D6E4A">
              <w:t>: Members and other relevant stakeholders have been extensively informed about the funding opportunities for implementing climate actions in their areas through the organi</w:t>
            </w:r>
            <w:r w:rsidR="006C5A21" w:rsidRPr="006D6E4A">
              <w:t>s</w:t>
            </w:r>
            <w:r w:rsidRPr="006D6E4A">
              <w:t>ation of conferences, public events</w:t>
            </w:r>
            <w:r w:rsidR="0001020C" w:rsidRPr="006D6E4A">
              <w:t xml:space="preserve"> and the</w:t>
            </w:r>
            <w:r w:rsidRPr="006D6E4A">
              <w:t xml:space="preserve"> provision of briefings and studies. In addition, a dedicated opinion on climate finance has been adopted and promoted at both EU and international level.</w:t>
            </w:r>
          </w:p>
          <w:p w:rsidR="00C77F11" w:rsidRPr="006D6E4A" w:rsidRDefault="00C77F11" w:rsidP="00BC283C">
            <w:pPr>
              <w:overflowPunct/>
              <w:adjustRightInd/>
              <w:jc w:val="left"/>
              <w:textAlignment w:val="auto"/>
              <w:rPr>
                <w:szCs w:val="22"/>
              </w:rPr>
            </w:pPr>
            <w:r w:rsidRPr="006D6E4A">
              <w:rPr>
                <w:i/>
              </w:rPr>
              <w:t>Policy objective 3</w:t>
            </w:r>
            <w:r w:rsidRPr="006D6E4A">
              <w:t>: in May 2017</w:t>
            </w:r>
            <w:r w:rsidR="00B4445E" w:rsidRPr="006D6E4A">
              <w:t>,</w:t>
            </w:r>
            <w:r w:rsidRPr="006D6E4A">
              <w:t xml:space="preserve"> the UNFCCC held the first</w:t>
            </w:r>
            <w:r w:rsidR="00B4445E" w:rsidRPr="006D6E4A">
              <w:t>-</w:t>
            </w:r>
            <w:r w:rsidRPr="006D6E4A">
              <w:t>ever workshop on the engagement of non-Party stakeholders. The CoR participated and contributed to the eve</w:t>
            </w:r>
            <w:r w:rsidR="00C224D5" w:rsidRPr="006D6E4A">
              <w:t>n</w:t>
            </w:r>
            <w:r w:rsidRPr="006D6E4A">
              <w:t xml:space="preserve">t. Overall, subnational governments are receiving more and more attention and inclusion, </w:t>
            </w:r>
            <w:r w:rsidR="00CE1526" w:rsidRPr="006D6E4A">
              <w:t>due also</w:t>
            </w:r>
            <w:r w:rsidRPr="006D6E4A">
              <w:t xml:space="preserve"> to the lack of ambition of some of their national governments on climate change. Full inclusion in the global climate governance mechanisms is </w:t>
            </w:r>
            <w:r w:rsidR="00BA1012" w:rsidRPr="006D6E4A">
              <w:t xml:space="preserve">still </w:t>
            </w:r>
            <w:r w:rsidRPr="006D6E4A">
              <w:t>far from being achieved though. Hence the need to maintain this objective throughout 2018.</w:t>
            </w:r>
          </w:p>
        </w:tc>
      </w:tr>
      <w:tr w:rsidR="009E052D" w:rsidRPr="006D6E4A" w:rsidTr="00B54B31">
        <w:tc>
          <w:tcPr>
            <w:tcW w:w="1951" w:type="dxa"/>
          </w:tcPr>
          <w:p w:rsidR="009E052D" w:rsidRPr="006D6E4A" w:rsidRDefault="009E052D" w:rsidP="00BC283C">
            <w:pPr>
              <w:overflowPunct/>
              <w:adjustRightInd/>
              <w:jc w:val="left"/>
              <w:textAlignment w:val="auto"/>
            </w:pPr>
            <w:r w:rsidRPr="006D6E4A">
              <w:t xml:space="preserve">Proposed </w:t>
            </w:r>
            <w:r w:rsidR="008853F7" w:rsidRPr="006D6E4A">
              <w:t xml:space="preserve">CoR </w:t>
            </w:r>
            <w:r w:rsidRPr="006D6E4A">
              <w:t xml:space="preserve">actions and support </w:t>
            </w:r>
            <w:r w:rsidR="008853F7" w:rsidRPr="006D6E4A">
              <w:t>activities in 2017</w:t>
            </w:r>
            <w:r w:rsidR="002616AF" w:rsidRPr="006D6E4A">
              <w:t xml:space="preserve"> with tim</w:t>
            </w:r>
            <w:r w:rsidR="00EF34F6" w:rsidRPr="006D6E4A">
              <w:t>e</w:t>
            </w:r>
            <w:r w:rsidR="00653FAA" w:rsidRPr="006D6E4A">
              <w:t>line</w:t>
            </w:r>
          </w:p>
          <w:p w:rsidR="009E052D" w:rsidRPr="006D6E4A" w:rsidRDefault="009E052D" w:rsidP="00BC283C">
            <w:pPr>
              <w:overflowPunct/>
              <w:adjustRightInd/>
              <w:jc w:val="left"/>
              <w:textAlignment w:val="auto"/>
              <w:rPr>
                <w:szCs w:val="22"/>
              </w:rPr>
            </w:pPr>
          </w:p>
        </w:tc>
        <w:tc>
          <w:tcPr>
            <w:tcW w:w="7216" w:type="dxa"/>
            <w:gridSpan w:val="2"/>
          </w:tcPr>
          <w:p w:rsidR="009E052D" w:rsidRPr="006D6E4A" w:rsidRDefault="00E422D2" w:rsidP="00BC283C">
            <w:pPr>
              <w:overflowPunct/>
              <w:adjustRightInd/>
              <w:jc w:val="left"/>
              <w:textAlignment w:val="auto"/>
            </w:pPr>
            <w:r w:rsidRPr="006D6E4A">
              <w:t xml:space="preserve">Adoption of an own-initiative opinion </w:t>
            </w:r>
            <w:r w:rsidR="006D4AF3" w:rsidRPr="006D6E4A">
              <w:t xml:space="preserve">/ Resolution </w:t>
            </w:r>
            <w:r w:rsidRPr="006D6E4A">
              <w:t xml:space="preserve">on </w:t>
            </w:r>
            <w:r w:rsidR="00457D8A" w:rsidRPr="006D6E4A">
              <w:t>"</w:t>
            </w:r>
            <w:r w:rsidRPr="006D6E4A">
              <w:t>Towards the Katowice UNFCCC COP24: the Paris Agreement three years on</w:t>
            </w:r>
            <w:r w:rsidR="00457D8A" w:rsidRPr="006D6E4A">
              <w:t>"</w:t>
            </w:r>
            <w:r w:rsidR="006D4AF3" w:rsidRPr="006D6E4A">
              <w:t xml:space="preserve"> (tbc)</w:t>
            </w:r>
            <w:r w:rsidRPr="006D6E4A">
              <w:t>.</w:t>
            </w:r>
          </w:p>
          <w:p w:rsidR="008C0FEE" w:rsidRPr="006D6E4A" w:rsidRDefault="006873F3" w:rsidP="006D4AF3">
            <w:pPr>
              <w:overflowPunct/>
              <w:adjustRightInd/>
              <w:textAlignment w:val="auto"/>
              <w:rPr>
                <w:szCs w:val="22"/>
              </w:rPr>
            </w:pPr>
            <w:r w:rsidRPr="006D6E4A">
              <w:t xml:space="preserve">Noting the close link between EU energy policy and the implementation of the EU's climate change mitigation commitments under the UNFCCC Paris agreement, the ENVE Commission will in its consultative work consider the synergy between these two policy areas, </w:t>
            </w:r>
            <w:r w:rsidR="00800EC0" w:rsidRPr="006D6E4A">
              <w:t>in particular as regards</w:t>
            </w:r>
            <w:r w:rsidRPr="006D6E4A">
              <w:t xml:space="preserve"> a possible opinion on </w:t>
            </w:r>
            <w:r w:rsidR="00082251" w:rsidRPr="006D6E4A">
              <w:t xml:space="preserve">the </w:t>
            </w:r>
            <w:r w:rsidRPr="006D6E4A">
              <w:t xml:space="preserve">EC's </w:t>
            </w:r>
            <w:r w:rsidR="00082251" w:rsidRPr="006D6E4A">
              <w:t>future R</w:t>
            </w:r>
            <w:r w:rsidRPr="006D6E4A">
              <w:t>eflection Paper on "Towards a Sustainable Europe by 2030</w:t>
            </w:r>
            <w:r w:rsidR="00C043D2" w:rsidRPr="006D6E4A">
              <w:t xml:space="preserve"> and</w:t>
            </w:r>
            <w:r w:rsidRPr="006D6E4A">
              <w:t xml:space="preserve"> on the follow-up to the UN Sustainable Development Goals, including on the Par</w:t>
            </w:r>
            <w:r w:rsidR="00AE481C" w:rsidRPr="006D6E4A">
              <w:t>is Agreement on Climate Change"</w:t>
            </w:r>
            <w:r w:rsidRPr="006D6E4A">
              <w:t xml:space="preserve">. Moreover, the follow-up of the </w:t>
            </w:r>
            <w:proofErr w:type="spellStart"/>
            <w:r w:rsidRPr="006D6E4A">
              <w:t>CoR's</w:t>
            </w:r>
            <w:proofErr w:type="spellEnd"/>
            <w:r w:rsidRPr="006D6E4A">
              <w:t xml:space="preserve"> Opinions </w:t>
            </w:r>
            <w:r w:rsidR="00AE481C" w:rsidRPr="006D6E4A">
              <w:t>on the EC Winter package on the Energy Union will be linked with climate change mitigation at the local and regional level.</w:t>
            </w:r>
            <w:r w:rsidR="000435B4" w:rsidRPr="006D6E4A">
              <w:t xml:space="preserve"> </w:t>
            </w:r>
            <w:r w:rsidR="00515FA1" w:rsidRPr="006D6E4A">
              <w:t>The o</w:t>
            </w:r>
            <w:r w:rsidR="008C0FEE" w:rsidRPr="006D6E4A">
              <w:t>rganisation of thematic conferences on climate finance</w:t>
            </w:r>
            <w:r w:rsidR="00515FA1" w:rsidRPr="006D6E4A">
              <w:t>.</w:t>
            </w:r>
            <w:r w:rsidR="00924D94" w:rsidRPr="006D6E4A">
              <w:t xml:space="preserve"> </w:t>
            </w:r>
            <w:r w:rsidR="008C0FEE" w:rsidRPr="006D6E4A">
              <w:t>Continuous involvement within the Climate Chance Summit process and in the International Climate Governance Coalition as co-pilot</w:t>
            </w:r>
            <w:r w:rsidR="00665B00" w:rsidRPr="006D6E4A">
              <w:t>,</w:t>
            </w:r>
            <w:r w:rsidR="008C0FEE" w:rsidRPr="006D6E4A">
              <w:t xml:space="preserve"> together with the OECD, EESC and </w:t>
            </w:r>
            <w:proofErr w:type="spellStart"/>
            <w:r w:rsidR="008C0FEE" w:rsidRPr="006D6E4A">
              <w:t>Comité</w:t>
            </w:r>
            <w:proofErr w:type="spellEnd"/>
            <w:r w:rsidR="008C0FEE" w:rsidRPr="006D6E4A">
              <w:t xml:space="preserve"> 21.</w:t>
            </w:r>
          </w:p>
        </w:tc>
      </w:tr>
      <w:tr w:rsidR="009E052D" w:rsidRPr="006D6E4A" w:rsidTr="00B54B31">
        <w:tc>
          <w:tcPr>
            <w:tcW w:w="1951" w:type="dxa"/>
          </w:tcPr>
          <w:p w:rsidR="009E052D" w:rsidRPr="006D6E4A" w:rsidRDefault="00990453" w:rsidP="00BC283C">
            <w:pPr>
              <w:overflowPunct/>
              <w:adjustRightInd/>
              <w:jc w:val="left"/>
              <w:textAlignment w:val="auto"/>
              <w:rPr>
                <w:szCs w:val="22"/>
              </w:rPr>
            </w:pPr>
            <w:r w:rsidRPr="006D6E4A">
              <w:t>Key i</w:t>
            </w:r>
            <w:r w:rsidR="008853F7" w:rsidRPr="006D6E4A">
              <w:t xml:space="preserve">nter-institutional </w:t>
            </w:r>
            <w:r w:rsidRPr="006D6E4A">
              <w:t>developments for follow-up</w:t>
            </w:r>
            <w:r w:rsidR="00653FAA" w:rsidRPr="006D6E4A">
              <w:t xml:space="preserve"> and indicative timeline for implementation</w:t>
            </w:r>
          </w:p>
        </w:tc>
        <w:tc>
          <w:tcPr>
            <w:tcW w:w="7216" w:type="dxa"/>
            <w:gridSpan w:val="2"/>
          </w:tcPr>
          <w:p w:rsidR="0017503C" w:rsidRPr="006D6E4A" w:rsidRDefault="0017503C" w:rsidP="00BC283C">
            <w:pPr>
              <w:overflowPunct/>
              <w:adjustRightInd/>
              <w:textAlignment w:val="auto"/>
            </w:pPr>
            <w:r w:rsidRPr="006D6E4A">
              <w:t>Follow-up to the opinions on climate change adopted in 2017.</w:t>
            </w:r>
          </w:p>
          <w:p w:rsidR="0017503C" w:rsidRPr="006D6E4A" w:rsidRDefault="0017503C" w:rsidP="00BC283C">
            <w:pPr>
              <w:overflowPunct/>
              <w:adjustRightInd/>
              <w:textAlignment w:val="auto"/>
            </w:pPr>
            <w:r w:rsidRPr="006D6E4A">
              <w:t>Monitoring of the negotiations for the 2021-2027 MFF.</w:t>
            </w:r>
          </w:p>
          <w:p w:rsidR="0017503C" w:rsidRPr="006D6E4A" w:rsidRDefault="0017503C" w:rsidP="00BC283C">
            <w:pPr>
              <w:overflowPunct/>
              <w:adjustRightInd/>
              <w:textAlignment w:val="auto"/>
            </w:pPr>
            <w:r w:rsidRPr="006D6E4A">
              <w:t>Implementation of the actions listed in the CoR-ICLEI and CoR-Climate Alliance Action Plans.</w:t>
            </w:r>
          </w:p>
          <w:p w:rsidR="009E052D" w:rsidRPr="006D6E4A" w:rsidRDefault="0017503C" w:rsidP="00BC283C">
            <w:pPr>
              <w:overflowPunct/>
              <w:adjustRightInd/>
              <w:textAlignment w:val="auto"/>
              <w:rPr>
                <w:i/>
                <w:color w:val="FF0000"/>
                <w:szCs w:val="22"/>
              </w:rPr>
            </w:pPr>
            <w:r w:rsidRPr="006D6E4A">
              <w:t xml:space="preserve">Follow-up to the Climate Summit of Local and Regional Leaders roadmap for action. </w:t>
            </w:r>
          </w:p>
        </w:tc>
      </w:tr>
    </w:tbl>
    <w:p w:rsidR="009E052D" w:rsidRPr="006D6E4A" w:rsidRDefault="00145BBF" w:rsidP="00BC283C">
      <w:pPr>
        <w:overflowPunct/>
        <w:adjustRightInd/>
        <w:jc w:val="center"/>
        <w:textAlignment w:val="auto"/>
      </w:pPr>
      <w:r w:rsidRPr="006D6E4A">
        <w:t>_______________</w:t>
      </w:r>
    </w:p>
    <w:sectPr w:rsidR="009E052D" w:rsidRPr="006D6E4A" w:rsidSect="006D6E4A">
      <w:headerReference w:type="even" r:id="rId20"/>
      <w:headerReference w:type="default" r:id="rId21"/>
      <w:footerReference w:type="even" r:id="rId22"/>
      <w:footerReference w:type="default" r:id="rId23"/>
      <w:headerReference w:type="first" r:id="rId24"/>
      <w:footerReference w:type="first" r:id="rId25"/>
      <w:endnotePr>
        <w:numFmt w:val="chicago"/>
      </w:endnotePr>
      <w:type w:val="continuous"/>
      <w:pgSz w:w="11907" w:h="16839" w:code="9"/>
      <w:pgMar w:top="1417" w:right="1417" w:bottom="1417" w:left="141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A6" w:rsidRDefault="00B625A6" w:rsidP="00BD7F91">
      <w:pPr>
        <w:spacing w:line="240" w:lineRule="auto"/>
      </w:pPr>
      <w:r>
        <w:separator/>
      </w:r>
    </w:p>
  </w:endnote>
  <w:endnote w:type="continuationSeparator" w:id="0">
    <w:p w:rsidR="00B625A6" w:rsidRDefault="00B625A6" w:rsidP="00BD7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F" w:rsidRPr="006D6E4A" w:rsidRDefault="00145BBF" w:rsidP="006D6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6D6E4A" w:rsidP="006D6E4A">
    <w:pPr>
      <w:pStyle w:val="Footer"/>
    </w:pPr>
    <w:r>
      <w:t xml:space="preserve">COR-2017-04290-00-01-TCD-TRA (EN) </w:t>
    </w:r>
    <w:r>
      <w:fldChar w:fldCharType="begin"/>
    </w:r>
    <w:r>
      <w:instrText xml:space="preserve"> PAGE  \* Arabic  \* MERGEFORMAT </w:instrText>
    </w:r>
    <w:r>
      <w:fldChar w:fldCharType="separate"/>
    </w:r>
    <w:r w:rsidR="0036683A">
      <w:rPr>
        <w:noProof/>
      </w:rPr>
      <w:t>1</w:t>
    </w:r>
    <w:r>
      <w:fldChar w:fldCharType="end"/>
    </w:r>
    <w:r>
      <w:t>/</w:t>
    </w:r>
    <w:r>
      <w:fldChar w:fldCharType="begin"/>
    </w:r>
    <w:r>
      <w:instrText xml:space="preserve"> = </w:instrText>
    </w:r>
    <w:r w:rsidR="00B625A6">
      <w:fldChar w:fldCharType="begin"/>
    </w:r>
    <w:r w:rsidR="00B625A6">
      <w:instrText xml:space="preserve"> NUMPAGES </w:instrText>
    </w:r>
    <w:r w:rsidR="00B625A6">
      <w:fldChar w:fldCharType="separate"/>
    </w:r>
    <w:r w:rsidR="0036683A">
      <w:rPr>
        <w:noProof/>
      </w:rPr>
      <w:instrText>15</w:instrText>
    </w:r>
    <w:r w:rsidR="00B625A6">
      <w:rPr>
        <w:noProof/>
      </w:rPr>
      <w:fldChar w:fldCharType="end"/>
    </w:r>
    <w:r>
      <w:instrText xml:space="preserve"> </w:instrText>
    </w:r>
    <w:r>
      <w:fldChar w:fldCharType="separate"/>
    </w:r>
    <w:r w:rsidR="0036683A">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F" w:rsidRPr="006D6E4A" w:rsidRDefault="00145BBF" w:rsidP="006D6E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B54B31" w:rsidP="006D6E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6D6E4A" w:rsidP="006D6E4A">
    <w:pPr>
      <w:pStyle w:val="Footer"/>
    </w:pPr>
    <w:r>
      <w:t xml:space="preserve">COR-2017-04290-00-01-TCD-TRA (EN) </w:t>
    </w:r>
    <w:r>
      <w:fldChar w:fldCharType="begin"/>
    </w:r>
    <w:r>
      <w:instrText xml:space="preserve"> PAGE  \* Arabic  \* MERGEFORMAT </w:instrText>
    </w:r>
    <w:r>
      <w:fldChar w:fldCharType="separate"/>
    </w:r>
    <w:r w:rsidR="0036683A">
      <w:rPr>
        <w:noProof/>
      </w:rPr>
      <w:t>2</w:t>
    </w:r>
    <w:r>
      <w:fldChar w:fldCharType="end"/>
    </w:r>
    <w:r>
      <w:t>/</w:t>
    </w:r>
    <w:r>
      <w:fldChar w:fldCharType="begin"/>
    </w:r>
    <w:r>
      <w:instrText xml:space="preserve"> = </w:instrText>
    </w:r>
    <w:r w:rsidR="00B625A6">
      <w:fldChar w:fldCharType="begin"/>
    </w:r>
    <w:r w:rsidR="00B625A6">
      <w:instrText xml:space="preserve"> NUMPAGES </w:instrText>
    </w:r>
    <w:r w:rsidR="00B625A6">
      <w:fldChar w:fldCharType="separate"/>
    </w:r>
    <w:r w:rsidR="0036683A">
      <w:rPr>
        <w:noProof/>
      </w:rPr>
      <w:instrText>15</w:instrText>
    </w:r>
    <w:r w:rsidR="00B625A6">
      <w:rPr>
        <w:noProof/>
      </w:rPr>
      <w:fldChar w:fldCharType="end"/>
    </w:r>
    <w:r>
      <w:instrText xml:space="preserve"> </w:instrText>
    </w:r>
    <w:r>
      <w:fldChar w:fldCharType="separate"/>
    </w:r>
    <w:r w:rsidR="0036683A">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B54B31" w:rsidP="006D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A6" w:rsidRDefault="00B625A6" w:rsidP="00BD7F91">
      <w:pPr>
        <w:spacing w:line="240" w:lineRule="auto"/>
      </w:pPr>
      <w:r>
        <w:separator/>
      </w:r>
    </w:p>
  </w:footnote>
  <w:footnote w:type="continuationSeparator" w:id="0">
    <w:p w:rsidR="00B625A6" w:rsidRDefault="00B625A6" w:rsidP="00BD7F91">
      <w:pPr>
        <w:spacing w:line="240" w:lineRule="auto"/>
      </w:pPr>
      <w:r>
        <w:continuationSeparator/>
      </w:r>
    </w:p>
  </w:footnote>
  <w:footnote w:id="1">
    <w:p w:rsidR="00B54B31" w:rsidRPr="006D6E4A" w:rsidRDefault="00B54B31" w:rsidP="00840188">
      <w:pPr>
        <w:pStyle w:val="FootnoteText"/>
        <w:ind w:left="567" w:hanging="567"/>
      </w:pPr>
      <w:r w:rsidRPr="006D6E4A">
        <w:rPr>
          <w:rStyle w:val="FootnoteReference"/>
        </w:rPr>
        <w:footnoteRef/>
      </w:r>
      <w:r w:rsidRPr="006D6E4A">
        <w:rPr>
          <w:rStyle w:val="FootnoteReference"/>
        </w:rPr>
        <w:t xml:space="preserve"> </w:t>
      </w:r>
      <w:r w:rsidR="00BC283C" w:rsidRPr="006D6E4A">
        <w:tab/>
      </w:r>
      <w:r w:rsidRPr="006D6E4A">
        <w:t>COM (2017) 650 final</w:t>
      </w:r>
    </w:p>
  </w:footnote>
  <w:footnote w:id="2">
    <w:p w:rsidR="00B54B31" w:rsidRPr="006D6E4A" w:rsidRDefault="00B54B31" w:rsidP="00840188">
      <w:pPr>
        <w:pStyle w:val="FootnoteText"/>
        <w:ind w:left="567" w:hanging="567"/>
      </w:pPr>
      <w:r w:rsidRPr="006D6E4A">
        <w:rPr>
          <w:rStyle w:val="FootnoteReference"/>
        </w:rPr>
        <w:footnoteRef/>
      </w:r>
      <w:r w:rsidRPr="006D6E4A">
        <w:rPr>
          <w:rStyle w:val="FootnoteReference"/>
        </w:rPr>
        <w:t xml:space="preserve"> </w:t>
      </w:r>
      <w:r w:rsidR="00BC283C" w:rsidRPr="006D6E4A">
        <w:tab/>
      </w:r>
      <w:r w:rsidRPr="006D6E4A">
        <w:t>COR-2017-</w:t>
      </w:r>
      <w:r w:rsidRPr="006D6E4A">
        <w:rPr>
          <w:highlight w:val="yellow"/>
        </w:rPr>
        <w:t xml:space="preserve"> </w:t>
      </w:r>
    </w:p>
  </w:footnote>
  <w:footnote w:id="3">
    <w:p w:rsidR="00B54B31" w:rsidRPr="006D6E4A" w:rsidRDefault="00B54B31" w:rsidP="00840188">
      <w:pPr>
        <w:pStyle w:val="FootnoteText"/>
        <w:ind w:left="567" w:hanging="567"/>
      </w:pPr>
      <w:r w:rsidRPr="006D6E4A">
        <w:rPr>
          <w:rStyle w:val="FootnoteReference"/>
        </w:rPr>
        <w:footnoteRef/>
      </w:r>
      <w:r w:rsidRPr="006D6E4A">
        <w:rPr>
          <w:rStyle w:val="FootnoteReference"/>
        </w:rPr>
        <w:t xml:space="preserve"> </w:t>
      </w:r>
      <w:r w:rsidR="00BC283C" w:rsidRPr="006D6E4A">
        <w:tab/>
      </w:r>
      <w:r w:rsidRPr="006D6E4A">
        <w:t>An explanatory sheet for each proposed priority policy area is enclosed in Appendix III. These policy areas will also be the first to benefit from the Thematic Planning process.</w:t>
      </w:r>
    </w:p>
  </w:footnote>
  <w:footnote w:id="4">
    <w:p w:rsidR="00B54B31" w:rsidRPr="006D6E4A" w:rsidRDefault="00B54B31" w:rsidP="005E03C9">
      <w:pPr>
        <w:pStyle w:val="FootnoteText"/>
        <w:ind w:left="567" w:hanging="567"/>
      </w:pPr>
      <w:r w:rsidRPr="006D6E4A">
        <w:rPr>
          <w:rStyle w:val="FootnoteReference"/>
        </w:rPr>
        <w:footnoteRef/>
      </w:r>
      <w:r w:rsidRPr="006D6E4A">
        <w:rPr>
          <w:rStyle w:val="FootnoteReference"/>
        </w:rPr>
        <w:t xml:space="preserve"> </w:t>
      </w:r>
      <w:r w:rsidR="00BC283C" w:rsidRPr="006D6E4A">
        <w:tab/>
      </w:r>
      <w:r w:rsidRPr="006D6E4A">
        <w:t>The list is indicative and subject to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F" w:rsidRPr="006D6E4A" w:rsidRDefault="00145BBF" w:rsidP="006D6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F" w:rsidRPr="006D6E4A" w:rsidRDefault="00145BBF" w:rsidP="006D6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F" w:rsidRPr="006D6E4A" w:rsidRDefault="00145BBF" w:rsidP="006D6E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B54B31" w:rsidP="006D6E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B54B31" w:rsidP="006D6E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31" w:rsidRPr="006D6E4A" w:rsidRDefault="00B54B31" w:rsidP="006D6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F84AB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4E507D"/>
    <w:multiLevelType w:val="hybridMultilevel"/>
    <w:tmpl w:val="C598E59E"/>
    <w:lvl w:ilvl="0" w:tplc="7974C9D2">
      <w:start w:val="1"/>
      <w:numFmt w:val="bullet"/>
      <w:lvlRestart w:val="0"/>
      <w:lvlText w:val=""/>
      <w:lvlJc w:val="left"/>
      <w:pPr>
        <w:tabs>
          <w:tab w:val="num" w:pos="0"/>
        </w:tabs>
        <w:ind w:left="369" w:hanging="369"/>
      </w:pPr>
      <w:rPr>
        <w:rFonts w:ascii="Symbol" w:hAnsi="Symbol" w:hint="default"/>
        <w:b w:val="0"/>
        <w:i w:val="0"/>
        <w:sz w:val="22"/>
      </w:rPr>
    </w:lvl>
    <w:lvl w:ilvl="1" w:tplc="5E4CF3F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097396"/>
    <w:multiLevelType w:val="hybridMultilevel"/>
    <w:tmpl w:val="2BB6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01F1"/>
    <w:multiLevelType w:val="hybridMultilevel"/>
    <w:tmpl w:val="5AF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71200"/>
    <w:multiLevelType w:val="singleLevel"/>
    <w:tmpl w:val="61567650"/>
    <w:lvl w:ilvl="0">
      <w:start w:val="1"/>
      <w:numFmt w:val="bullet"/>
      <w:lvlText w:val=""/>
      <w:lvlJc w:val="left"/>
      <w:pPr>
        <w:ind w:left="720" w:hanging="360"/>
      </w:pPr>
      <w:rPr>
        <w:rFonts w:ascii="Symbol" w:hAnsi="Symbol" w:hint="default"/>
      </w:rPr>
    </w:lvl>
  </w:abstractNum>
  <w:abstractNum w:abstractNumId="5">
    <w:nsid w:val="181629A6"/>
    <w:multiLevelType w:val="singleLevel"/>
    <w:tmpl w:val="5AF4C158"/>
    <w:lvl w:ilvl="0">
      <w:start w:val="1"/>
      <w:numFmt w:val="decimal"/>
      <w:lvlText w:val="%1."/>
      <w:lvlJc w:val="left"/>
      <w:pPr>
        <w:ind w:left="720" w:hanging="360"/>
      </w:pPr>
    </w:lvl>
  </w:abstractNum>
  <w:abstractNum w:abstractNumId="6">
    <w:nsid w:val="1F6C1FCC"/>
    <w:multiLevelType w:val="singleLevel"/>
    <w:tmpl w:val="5AF4C158"/>
    <w:lvl w:ilvl="0">
      <w:start w:val="1"/>
      <w:numFmt w:val="decimal"/>
      <w:lvlText w:val="%1."/>
      <w:lvlJc w:val="left"/>
      <w:pPr>
        <w:ind w:left="720" w:hanging="360"/>
      </w:pPr>
    </w:lvl>
  </w:abstractNum>
  <w:abstractNum w:abstractNumId="7">
    <w:nsid w:val="1F8A2613"/>
    <w:multiLevelType w:val="singleLevel"/>
    <w:tmpl w:val="61567650"/>
    <w:lvl w:ilvl="0">
      <w:start w:val="1"/>
      <w:numFmt w:val="bullet"/>
      <w:lvlText w:val=""/>
      <w:lvlJc w:val="left"/>
      <w:pPr>
        <w:ind w:left="720" w:hanging="360"/>
      </w:pPr>
      <w:rPr>
        <w:rFonts w:ascii="Symbol" w:hAnsi="Symbol" w:hint="default"/>
      </w:rPr>
    </w:lvl>
  </w:abstractNum>
  <w:abstractNum w:abstractNumId="8">
    <w:nsid w:val="218935C7"/>
    <w:multiLevelType w:val="singleLevel"/>
    <w:tmpl w:val="95BCDB8E"/>
    <w:lvl w:ilvl="0">
      <w:start w:val="1"/>
      <w:numFmt w:val="bullet"/>
      <w:lvlText w:val=""/>
      <w:lvlJc w:val="left"/>
      <w:pPr>
        <w:ind w:left="720" w:hanging="360"/>
      </w:pPr>
      <w:rPr>
        <w:rFonts w:ascii="Symbol" w:hAnsi="Symbol" w:hint="default"/>
      </w:rPr>
    </w:lvl>
  </w:abstractNum>
  <w:abstractNum w:abstractNumId="9">
    <w:nsid w:val="2422672B"/>
    <w:multiLevelType w:val="singleLevel"/>
    <w:tmpl w:val="61567650"/>
    <w:lvl w:ilvl="0">
      <w:start w:val="1"/>
      <w:numFmt w:val="bullet"/>
      <w:lvlText w:val=""/>
      <w:lvlJc w:val="left"/>
      <w:pPr>
        <w:ind w:left="720" w:hanging="360"/>
      </w:pPr>
      <w:rPr>
        <w:rFonts w:ascii="Symbol" w:hAnsi="Symbol" w:hint="default"/>
      </w:rPr>
    </w:lvl>
  </w:abstractNum>
  <w:abstractNum w:abstractNumId="10">
    <w:nsid w:val="2B092751"/>
    <w:multiLevelType w:val="singleLevel"/>
    <w:tmpl w:val="95BCDB8E"/>
    <w:lvl w:ilvl="0">
      <w:start w:val="1"/>
      <w:numFmt w:val="bullet"/>
      <w:lvlText w:val=""/>
      <w:lvlJc w:val="left"/>
      <w:pPr>
        <w:ind w:left="720" w:hanging="360"/>
      </w:pPr>
      <w:rPr>
        <w:rFonts w:ascii="Symbol" w:hAnsi="Symbol" w:hint="default"/>
      </w:rPr>
    </w:lvl>
  </w:abstractNum>
  <w:abstractNum w:abstractNumId="11">
    <w:nsid w:val="2D9B5A51"/>
    <w:multiLevelType w:val="singleLevel"/>
    <w:tmpl w:val="5AF4C158"/>
    <w:lvl w:ilvl="0">
      <w:start w:val="1"/>
      <w:numFmt w:val="decimal"/>
      <w:lvlText w:val="%1."/>
      <w:lvlJc w:val="left"/>
      <w:pPr>
        <w:ind w:left="720" w:hanging="360"/>
      </w:pPr>
    </w:lvl>
  </w:abstractNum>
  <w:abstractNum w:abstractNumId="12">
    <w:nsid w:val="30B843EA"/>
    <w:multiLevelType w:val="hybridMultilevel"/>
    <w:tmpl w:val="69C8BDE2"/>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96466"/>
    <w:multiLevelType w:val="singleLevel"/>
    <w:tmpl w:val="61567650"/>
    <w:lvl w:ilvl="0">
      <w:start w:val="1"/>
      <w:numFmt w:val="bullet"/>
      <w:lvlText w:val=""/>
      <w:lvlJc w:val="left"/>
      <w:pPr>
        <w:ind w:left="720" w:hanging="360"/>
      </w:pPr>
      <w:rPr>
        <w:rFonts w:ascii="Symbol" w:hAnsi="Symbol" w:hint="default"/>
      </w:rPr>
    </w:lvl>
  </w:abstractNum>
  <w:abstractNum w:abstractNumId="14">
    <w:nsid w:val="37131155"/>
    <w:multiLevelType w:val="singleLevel"/>
    <w:tmpl w:val="95BCDB8E"/>
    <w:lvl w:ilvl="0">
      <w:start w:val="1"/>
      <w:numFmt w:val="bullet"/>
      <w:lvlText w:val=""/>
      <w:lvlJc w:val="left"/>
      <w:pPr>
        <w:ind w:left="720" w:hanging="360"/>
      </w:pPr>
      <w:rPr>
        <w:rFonts w:ascii="Symbol" w:hAnsi="Symbol" w:hint="default"/>
      </w:rPr>
    </w:lvl>
  </w:abstractNum>
  <w:abstractNum w:abstractNumId="15">
    <w:nsid w:val="38D87891"/>
    <w:multiLevelType w:val="singleLevel"/>
    <w:tmpl w:val="1AA6A5C0"/>
    <w:lvl w:ilvl="0">
      <w:start w:val="1"/>
      <w:numFmt w:val="bullet"/>
      <w:lvlText w:val=""/>
      <w:lvlJc w:val="left"/>
      <w:pPr>
        <w:ind w:left="720" w:hanging="360"/>
      </w:pPr>
      <w:rPr>
        <w:rFonts w:ascii="Symbol" w:hAnsi="Symbol" w:hint="default"/>
      </w:rPr>
    </w:lvl>
  </w:abstractNum>
  <w:abstractNum w:abstractNumId="16">
    <w:nsid w:val="3C0F4B0F"/>
    <w:multiLevelType w:val="singleLevel"/>
    <w:tmpl w:val="95BCDB8E"/>
    <w:lvl w:ilvl="0">
      <w:start w:val="1"/>
      <w:numFmt w:val="bullet"/>
      <w:lvlText w:val=""/>
      <w:lvlJc w:val="left"/>
      <w:pPr>
        <w:ind w:left="720" w:hanging="360"/>
      </w:pPr>
      <w:rPr>
        <w:rFonts w:ascii="Symbol" w:hAnsi="Symbol" w:hint="default"/>
      </w:rPr>
    </w:lvl>
  </w:abstractNum>
  <w:abstractNum w:abstractNumId="17">
    <w:nsid w:val="402765B5"/>
    <w:multiLevelType w:val="singleLevel"/>
    <w:tmpl w:val="95BCDB8E"/>
    <w:lvl w:ilvl="0">
      <w:start w:val="1"/>
      <w:numFmt w:val="bullet"/>
      <w:lvlText w:val=""/>
      <w:lvlJc w:val="left"/>
      <w:pPr>
        <w:ind w:left="720" w:hanging="360"/>
      </w:pPr>
      <w:rPr>
        <w:rFonts w:ascii="Symbol" w:hAnsi="Symbol" w:hint="default"/>
      </w:rPr>
    </w:lvl>
  </w:abstractNum>
  <w:abstractNum w:abstractNumId="18">
    <w:nsid w:val="41465B0D"/>
    <w:multiLevelType w:val="singleLevel"/>
    <w:tmpl w:val="61567650"/>
    <w:lvl w:ilvl="0">
      <w:start w:val="1"/>
      <w:numFmt w:val="bullet"/>
      <w:lvlText w:val=""/>
      <w:lvlJc w:val="left"/>
      <w:pPr>
        <w:ind w:left="720" w:hanging="360"/>
      </w:pPr>
      <w:rPr>
        <w:rFonts w:ascii="Symbol" w:hAnsi="Symbol" w:hint="default"/>
      </w:rPr>
    </w:lvl>
  </w:abstractNum>
  <w:abstractNum w:abstractNumId="19">
    <w:nsid w:val="43B242FF"/>
    <w:multiLevelType w:val="singleLevel"/>
    <w:tmpl w:val="61567650"/>
    <w:lvl w:ilvl="0">
      <w:start w:val="1"/>
      <w:numFmt w:val="bullet"/>
      <w:lvlText w:val=""/>
      <w:lvlJc w:val="left"/>
      <w:pPr>
        <w:ind w:left="720" w:hanging="360"/>
      </w:pPr>
      <w:rPr>
        <w:rFonts w:ascii="Symbol" w:hAnsi="Symbol" w:hint="default"/>
      </w:rPr>
    </w:lvl>
  </w:abstractNum>
  <w:abstractNum w:abstractNumId="20">
    <w:nsid w:val="47EF6E50"/>
    <w:multiLevelType w:val="hybridMultilevel"/>
    <w:tmpl w:val="FCD647C4"/>
    <w:lvl w:ilvl="0" w:tplc="DC2876A0">
      <w:start w:val="1"/>
      <w:numFmt w:val="decimal"/>
      <w:lvlText w:val="%1."/>
      <w:lvlJc w:val="left"/>
      <w:pPr>
        <w:tabs>
          <w:tab w:val="num" w:pos="360"/>
        </w:tabs>
        <w:ind w:left="360" w:hanging="360"/>
      </w:pPr>
      <w:rPr>
        <w:rFonts w:hint="default"/>
        <w:b w:val="0"/>
        <w:i w:val="0"/>
        <w:color w:val="auto"/>
        <w:sz w:val="22"/>
      </w:rPr>
    </w:lvl>
    <w:lvl w:ilvl="1" w:tplc="21E6B722">
      <w:start w:val="1"/>
      <w:numFmt w:val="decimal"/>
      <w:lvlText w:val="(%2)"/>
      <w:lvlJc w:val="left"/>
      <w:pPr>
        <w:tabs>
          <w:tab w:val="num" w:pos="1440"/>
        </w:tabs>
        <w:ind w:left="1440" w:hanging="360"/>
      </w:pPr>
      <w:rPr>
        <w:rFonts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45140D"/>
    <w:multiLevelType w:val="hybridMultilevel"/>
    <w:tmpl w:val="7DF8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11A13"/>
    <w:multiLevelType w:val="singleLevel"/>
    <w:tmpl w:val="5AF4C158"/>
    <w:lvl w:ilvl="0">
      <w:start w:val="1"/>
      <w:numFmt w:val="decimal"/>
      <w:lvlText w:val="%1."/>
      <w:lvlJc w:val="left"/>
      <w:pPr>
        <w:ind w:left="720" w:hanging="360"/>
      </w:pPr>
    </w:lvl>
  </w:abstractNum>
  <w:abstractNum w:abstractNumId="23">
    <w:nsid w:val="57522CE1"/>
    <w:multiLevelType w:val="singleLevel"/>
    <w:tmpl w:val="61567650"/>
    <w:lvl w:ilvl="0">
      <w:start w:val="1"/>
      <w:numFmt w:val="bullet"/>
      <w:lvlText w:val=""/>
      <w:lvlJc w:val="left"/>
      <w:pPr>
        <w:ind w:left="720" w:hanging="360"/>
      </w:pPr>
      <w:rPr>
        <w:rFonts w:ascii="Symbol" w:hAnsi="Symbol" w:hint="default"/>
      </w:rPr>
    </w:lvl>
  </w:abstractNum>
  <w:abstractNum w:abstractNumId="24">
    <w:nsid w:val="5BFD419C"/>
    <w:multiLevelType w:val="hybridMultilevel"/>
    <w:tmpl w:val="95B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76E09"/>
    <w:multiLevelType w:val="hybridMultilevel"/>
    <w:tmpl w:val="1AA6A5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0B25AE0"/>
    <w:multiLevelType w:val="singleLevel"/>
    <w:tmpl w:val="61567650"/>
    <w:lvl w:ilvl="0">
      <w:start w:val="1"/>
      <w:numFmt w:val="bullet"/>
      <w:lvlText w:val=""/>
      <w:lvlJc w:val="left"/>
      <w:pPr>
        <w:ind w:left="720" w:hanging="360"/>
      </w:pPr>
      <w:rPr>
        <w:rFonts w:ascii="Symbol" w:hAnsi="Symbol" w:hint="default"/>
      </w:rPr>
    </w:lvl>
  </w:abstractNum>
  <w:abstractNum w:abstractNumId="27">
    <w:nsid w:val="60B26071"/>
    <w:multiLevelType w:val="singleLevel"/>
    <w:tmpl w:val="61567650"/>
    <w:lvl w:ilvl="0">
      <w:start w:val="1"/>
      <w:numFmt w:val="bullet"/>
      <w:lvlText w:val=""/>
      <w:lvlJc w:val="left"/>
      <w:pPr>
        <w:ind w:left="720" w:hanging="360"/>
      </w:pPr>
      <w:rPr>
        <w:rFonts w:ascii="Symbol" w:hAnsi="Symbol" w:hint="default"/>
      </w:rPr>
    </w:lvl>
  </w:abstractNum>
  <w:abstractNum w:abstractNumId="28">
    <w:nsid w:val="610301E7"/>
    <w:multiLevelType w:val="singleLevel"/>
    <w:tmpl w:val="61567650"/>
    <w:lvl w:ilvl="0">
      <w:start w:val="1"/>
      <w:numFmt w:val="bullet"/>
      <w:lvlText w:val=""/>
      <w:lvlJc w:val="left"/>
      <w:pPr>
        <w:ind w:left="720" w:hanging="360"/>
      </w:pPr>
      <w:rPr>
        <w:rFonts w:ascii="Symbol" w:hAnsi="Symbol" w:hint="default"/>
      </w:rPr>
    </w:lvl>
  </w:abstractNum>
  <w:abstractNum w:abstractNumId="29">
    <w:nsid w:val="61FA7772"/>
    <w:multiLevelType w:val="singleLevel"/>
    <w:tmpl w:val="95BCDB8E"/>
    <w:lvl w:ilvl="0">
      <w:start w:val="1"/>
      <w:numFmt w:val="bullet"/>
      <w:lvlText w:val=""/>
      <w:lvlJc w:val="left"/>
      <w:pPr>
        <w:ind w:left="720" w:hanging="360"/>
      </w:pPr>
      <w:rPr>
        <w:rFonts w:ascii="Symbol" w:hAnsi="Symbol" w:hint="default"/>
      </w:rPr>
    </w:lvl>
  </w:abstractNum>
  <w:abstractNum w:abstractNumId="30">
    <w:nsid w:val="645D17FF"/>
    <w:multiLevelType w:val="singleLevel"/>
    <w:tmpl w:val="61567650"/>
    <w:lvl w:ilvl="0">
      <w:start w:val="1"/>
      <w:numFmt w:val="bullet"/>
      <w:lvlText w:val=""/>
      <w:lvlJc w:val="left"/>
      <w:pPr>
        <w:ind w:left="720" w:hanging="360"/>
      </w:pPr>
      <w:rPr>
        <w:rFonts w:ascii="Symbol" w:hAnsi="Symbol" w:hint="default"/>
      </w:rPr>
    </w:lvl>
  </w:abstractNum>
  <w:abstractNum w:abstractNumId="31">
    <w:nsid w:val="69B459DC"/>
    <w:multiLevelType w:val="singleLevel"/>
    <w:tmpl w:val="1AA6A5C0"/>
    <w:lvl w:ilvl="0">
      <w:start w:val="1"/>
      <w:numFmt w:val="bullet"/>
      <w:lvlText w:val=""/>
      <w:lvlJc w:val="left"/>
      <w:pPr>
        <w:ind w:left="720" w:hanging="360"/>
      </w:pPr>
      <w:rPr>
        <w:rFonts w:ascii="Symbol" w:hAnsi="Symbol" w:hint="default"/>
      </w:rPr>
    </w:lvl>
  </w:abstractNum>
  <w:abstractNum w:abstractNumId="32">
    <w:nsid w:val="6ACC6E51"/>
    <w:multiLevelType w:val="singleLevel"/>
    <w:tmpl w:val="61567650"/>
    <w:lvl w:ilvl="0">
      <w:start w:val="1"/>
      <w:numFmt w:val="bullet"/>
      <w:lvlText w:val=""/>
      <w:lvlJc w:val="left"/>
      <w:pPr>
        <w:ind w:left="720" w:hanging="360"/>
      </w:pPr>
      <w:rPr>
        <w:rFonts w:ascii="Symbol" w:hAnsi="Symbol" w:hint="default"/>
      </w:rPr>
    </w:lvl>
  </w:abstractNum>
  <w:abstractNum w:abstractNumId="33">
    <w:nsid w:val="6DFA4EDF"/>
    <w:multiLevelType w:val="singleLevel"/>
    <w:tmpl w:val="61567650"/>
    <w:lvl w:ilvl="0">
      <w:start w:val="1"/>
      <w:numFmt w:val="bullet"/>
      <w:lvlText w:val=""/>
      <w:lvlJc w:val="left"/>
      <w:pPr>
        <w:ind w:left="720" w:hanging="360"/>
      </w:pPr>
      <w:rPr>
        <w:rFonts w:ascii="Symbol" w:hAnsi="Symbol" w:hint="default"/>
      </w:rPr>
    </w:lvl>
  </w:abstractNum>
  <w:abstractNum w:abstractNumId="34">
    <w:nsid w:val="773A42FF"/>
    <w:multiLevelType w:val="hybridMultilevel"/>
    <w:tmpl w:val="E828D2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B425AFA"/>
    <w:multiLevelType w:val="singleLevel"/>
    <w:tmpl w:val="1AA6A5C0"/>
    <w:lvl w:ilvl="0">
      <w:start w:val="1"/>
      <w:numFmt w:val="bullet"/>
      <w:lvlText w:val=""/>
      <w:lvlJc w:val="left"/>
      <w:pPr>
        <w:ind w:left="720" w:hanging="360"/>
      </w:pPr>
      <w:rPr>
        <w:rFonts w:ascii="Symbol" w:hAnsi="Symbol" w:hint="default"/>
      </w:rPr>
    </w:lvl>
  </w:abstractNum>
  <w:abstractNum w:abstractNumId="36">
    <w:nsid w:val="7C5F1ADA"/>
    <w:multiLevelType w:val="singleLevel"/>
    <w:tmpl w:val="61567650"/>
    <w:lvl w:ilvl="0">
      <w:start w:val="1"/>
      <w:numFmt w:val="bullet"/>
      <w:lvlText w:val=""/>
      <w:lvlJc w:val="left"/>
      <w:pPr>
        <w:ind w:left="720" w:hanging="360"/>
      </w:pPr>
      <w:rPr>
        <w:rFonts w:ascii="Symbol" w:hAnsi="Symbol" w:hint="default"/>
      </w:rPr>
    </w:lvl>
  </w:abstractNum>
  <w:abstractNum w:abstractNumId="37">
    <w:nsid w:val="7D1C69C9"/>
    <w:multiLevelType w:val="singleLevel"/>
    <w:tmpl w:val="95BCDB8E"/>
    <w:lvl w:ilvl="0">
      <w:start w:val="1"/>
      <w:numFmt w:val="bullet"/>
      <w:lvlText w:val=""/>
      <w:lvlJc w:val="left"/>
      <w:pPr>
        <w:ind w:left="720" w:hanging="360"/>
      </w:pPr>
      <w:rPr>
        <w:rFonts w:ascii="Symbol" w:hAnsi="Symbol" w:hint="default"/>
      </w:rPr>
    </w:lvl>
  </w:abstractNum>
  <w:num w:numId="1">
    <w:abstractNumId w:val="0"/>
  </w:num>
  <w:num w:numId="2">
    <w:abstractNumId w:val="20"/>
  </w:num>
  <w:num w:numId="3">
    <w:abstractNumId w:val="1"/>
  </w:num>
  <w:num w:numId="4">
    <w:abstractNumId w:val="34"/>
  </w:num>
  <w:num w:numId="5">
    <w:abstractNumId w:val="21"/>
  </w:num>
  <w:num w:numId="6">
    <w:abstractNumId w:val="3"/>
  </w:num>
  <w:num w:numId="7">
    <w:abstractNumId w:val="25"/>
  </w:num>
  <w:num w:numId="8">
    <w:abstractNumId w:val="2"/>
  </w:num>
  <w:num w:numId="9">
    <w:abstractNumId w:val="19"/>
  </w:num>
  <w:num w:numId="10">
    <w:abstractNumId w:val="23"/>
  </w:num>
  <w:num w:numId="11">
    <w:abstractNumId w:val="30"/>
  </w:num>
  <w:num w:numId="12">
    <w:abstractNumId w:val="36"/>
  </w:num>
  <w:num w:numId="13">
    <w:abstractNumId w:val="27"/>
  </w:num>
  <w:num w:numId="14">
    <w:abstractNumId w:val="9"/>
  </w:num>
  <w:num w:numId="15">
    <w:abstractNumId w:val="13"/>
  </w:num>
  <w:num w:numId="16">
    <w:abstractNumId w:val="32"/>
  </w:num>
  <w:num w:numId="17">
    <w:abstractNumId w:val="7"/>
  </w:num>
  <w:num w:numId="18">
    <w:abstractNumId w:val="18"/>
  </w:num>
  <w:num w:numId="19">
    <w:abstractNumId w:val="33"/>
  </w:num>
  <w:num w:numId="20">
    <w:abstractNumId w:val="4"/>
  </w:num>
  <w:num w:numId="21">
    <w:abstractNumId w:val="24"/>
  </w:num>
  <w:num w:numId="22">
    <w:abstractNumId w:val="12"/>
  </w:num>
  <w:num w:numId="23">
    <w:abstractNumId w:val="15"/>
  </w:num>
  <w:num w:numId="24">
    <w:abstractNumId w:val="31"/>
  </w:num>
  <w:num w:numId="25">
    <w:abstractNumId w:val="35"/>
  </w:num>
  <w:num w:numId="26">
    <w:abstractNumId w:val="28"/>
  </w:num>
  <w:num w:numId="27">
    <w:abstractNumId w:val="26"/>
  </w:num>
  <w:num w:numId="28">
    <w:abstractNumId w:val="16"/>
  </w:num>
  <w:num w:numId="29">
    <w:abstractNumId w:val="17"/>
  </w:num>
  <w:num w:numId="30">
    <w:abstractNumId w:val="37"/>
  </w:num>
  <w:num w:numId="31">
    <w:abstractNumId w:val="14"/>
  </w:num>
  <w:num w:numId="32">
    <w:abstractNumId w:val="10"/>
  </w:num>
  <w:num w:numId="33">
    <w:abstractNumId w:val="8"/>
  </w:num>
  <w:num w:numId="34">
    <w:abstractNumId w:val="29"/>
  </w:num>
  <w:num w:numId="35">
    <w:abstractNumId w:val="22"/>
  </w:num>
  <w:num w:numId="36">
    <w:abstractNumId w:val="5"/>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91"/>
    <w:rsid w:val="000023BD"/>
    <w:rsid w:val="0001020C"/>
    <w:rsid w:val="000140C0"/>
    <w:rsid w:val="00023146"/>
    <w:rsid w:val="00035E49"/>
    <w:rsid w:val="000435B4"/>
    <w:rsid w:val="00045690"/>
    <w:rsid w:val="0005021C"/>
    <w:rsid w:val="00060FC4"/>
    <w:rsid w:val="00063462"/>
    <w:rsid w:val="00082251"/>
    <w:rsid w:val="00083CC4"/>
    <w:rsid w:val="00086DC0"/>
    <w:rsid w:val="0009145E"/>
    <w:rsid w:val="000A0289"/>
    <w:rsid w:val="000A2134"/>
    <w:rsid w:val="000C154C"/>
    <w:rsid w:val="000C45C2"/>
    <w:rsid w:val="000D0029"/>
    <w:rsid w:val="000E5FD3"/>
    <w:rsid w:val="000F2E26"/>
    <w:rsid w:val="00105343"/>
    <w:rsid w:val="001062F4"/>
    <w:rsid w:val="00111B59"/>
    <w:rsid w:val="001128C0"/>
    <w:rsid w:val="00113FF5"/>
    <w:rsid w:val="00132FAF"/>
    <w:rsid w:val="00136BCF"/>
    <w:rsid w:val="00137BE5"/>
    <w:rsid w:val="00145BBF"/>
    <w:rsid w:val="00154B56"/>
    <w:rsid w:val="00161F9C"/>
    <w:rsid w:val="0016735F"/>
    <w:rsid w:val="00171FFD"/>
    <w:rsid w:val="00174EC3"/>
    <w:rsid w:val="0017503C"/>
    <w:rsid w:val="00181CE0"/>
    <w:rsid w:val="00181DE0"/>
    <w:rsid w:val="00184154"/>
    <w:rsid w:val="00185B20"/>
    <w:rsid w:val="00190A41"/>
    <w:rsid w:val="00190B63"/>
    <w:rsid w:val="00192CBC"/>
    <w:rsid w:val="001942A6"/>
    <w:rsid w:val="001A0867"/>
    <w:rsid w:val="001A16EF"/>
    <w:rsid w:val="001A5546"/>
    <w:rsid w:val="001B3A5D"/>
    <w:rsid w:val="001B4BE7"/>
    <w:rsid w:val="001C0C4C"/>
    <w:rsid w:val="001C202C"/>
    <w:rsid w:val="001C3377"/>
    <w:rsid w:val="001C376E"/>
    <w:rsid w:val="001D35FE"/>
    <w:rsid w:val="001D51E0"/>
    <w:rsid w:val="001D7DB4"/>
    <w:rsid w:val="001D7E38"/>
    <w:rsid w:val="001E14D8"/>
    <w:rsid w:val="001E53F2"/>
    <w:rsid w:val="001F5781"/>
    <w:rsid w:val="00200040"/>
    <w:rsid w:val="00203EEC"/>
    <w:rsid w:val="002174F8"/>
    <w:rsid w:val="0022255B"/>
    <w:rsid w:val="002306F3"/>
    <w:rsid w:val="002311DB"/>
    <w:rsid w:val="00234341"/>
    <w:rsid w:val="002348FD"/>
    <w:rsid w:val="00235652"/>
    <w:rsid w:val="0023655F"/>
    <w:rsid w:val="00236B2B"/>
    <w:rsid w:val="00240574"/>
    <w:rsid w:val="00241097"/>
    <w:rsid w:val="00244294"/>
    <w:rsid w:val="00244344"/>
    <w:rsid w:val="00246FEF"/>
    <w:rsid w:val="00250193"/>
    <w:rsid w:val="002616AF"/>
    <w:rsid w:val="00263CC1"/>
    <w:rsid w:val="00274376"/>
    <w:rsid w:val="0028773B"/>
    <w:rsid w:val="00294F5B"/>
    <w:rsid w:val="00296366"/>
    <w:rsid w:val="002B01AE"/>
    <w:rsid w:val="002C72D9"/>
    <w:rsid w:val="002D157B"/>
    <w:rsid w:val="002D335F"/>
    <w:rsid w:val="002D45C2"/>
    <w:rsid w:val="002D464E"/>
    <w:rsid w:val="002D5CBE"/>
    <w:rsid w:val="002D6617"/>
    <w:rsid w:val="002D6EA6"/>
    <w:rsid w:val="002E2416"/>
    <w:rsid w:val="002F64A0"/>
    <w:rsid w:val="00313E42"/>
    <w:rsid w:val="00314CF2"/>
    <w:rsid w:val="00332B1A"/>
    <w:rsid w:val="0033683A"/>
    <w:rsid w:val="0034515F"/>
    <w:rsid w:val="00347847"/>
    <w:rsid w:val="00364082"/>
    <w:rsid w:val="0036683A"/>
    <w:rsid w:val="00381D16"/>
    <w:rsid w:val="0038356D"/>
    <w:rsid w:val="00392BF9"/>
    <w:rsid w:val="00397EBB"/>
    <w:rsid w:val="003A0160"/>
    <w:rsid w:val="003A06CE"/>
    <w:rsid w:val="003A3A7C"/>
    <w:rsid w:val="003A7C3D"/>
    <w:rsid w:val="003B1250"/>
    <w:rsid w:val="003C1A4A"/>
    <w:rsid w:val="003C3C7C"/>
    <w:rsid w:val="003C645C"/>
    <w:rsid w:val="003C654B"/>
    <w:rsid w:val="003C6A9F"/>
    <w:rsid w:val="003C77F5"/>
    <w:rsid w:val="003D010E"/>
    <w:rsid w:val="003D05CA"/>
    <w:rsid w:val="003D2CEB"/>
    <w:rsid w:val="003D7BF2"/>
    <w:rsid w:val="003E17CD"/>
    <w:rsid w:val="003F15CD"/>
    <w:rsid w:val="003F5735"/>
    <w:rsid w:val="00401E4B"/>
    <w:rsid w:val="004120AB"/>
    <w:rsid w:val="00423680"/>
    <w:rsid w:val="00434B15"/>
    <w:rsid w:val="00457C74"/>
    <w:rsid w:val="00457D8A"/>
    <w:rsid w:val="0046147D"/>
    <w:rsid w:val="00471B86"/>
    <w:rsid w:val="00473B72"/>
    <w:rsid w:val="00494560"/>
    <w:rsid w:val="00494FF7"/>
    <w:rsid w:val="00496594"/>
    <w:rsid w:val="004A2AEC"/>
    <w:rsid w:val="004B0E1A"/>
    <w:rsid w:val="004B3224"/>
    <w:rsid w:val="004B48AE"/>
    <w:rsid w:val="004C43BA"/>
    <w:rsid w:val="004C7CD0"/>
    <w:rsid w:val="004E36FD"/>
    <w:rsid w:val="004E577D"/>
    <w:rsid w:val="004F4C3E"/>
    <w:rsid w:val="005036E2"/>
    <w:rsid w:val="005058F2"/>
    <w:rsid w:val="005106B4"/>
    <w:rsid w:val="00512970"/>
    <w:rsid w:val="00515FA1"/>
    <w:rsid w:val="005205F6"/>
    <w:rsid w:val="00521CAD"/>
    <w:rsid w:val="00531732"/>
    <w:rsid w:val="0054378A"/>
    <w:rsid w:val="005439B9"/>
    <w:rsid w:val="00557F1B"/>
    <w:rsid w:val="005633C6"/>
    <w:rsid w:val="00565AF6"/>
    <w:rsid w:val="00573C2E"/>
    <w:rsid w:val="0057762F"/>
    <w:rsid w:val="005876D3"/>
    <w:rsid w:val="0059311A"/>
    <w:rsid w:val="005A14BD"/>
    <w:rsid w:val="005B1CE6"/>
    <w:rsid w:val="005B635E"/>
    <w:rsid w:val="005C472E"/>
    <w:rsid w:val="005C6A95"/>
    <w:rsid w:val="005D79A5"/>
    <w:rsid w:val="005E03C9"/>
    <w:rsid w:val="005E097F"/>
    <w:rsid w:val="005E1778"/>
    <w:rsid w:val="005E53A4"/>
    <w:rsid w:val="005E59BA"/>
    <w:rsid w:val="005F500F"/>
    <w:rsid w:val="0060093A"/>
    <w:rsid w:val="00601B0F"/>
    <w:rsid w:val="00604DA8"/>
    <w:rsid w:val="006220A8"/>
    <w:rsid w:val="00623A55"/>
    <w:rsid w:val="00624AFB"/>
    <w:rsid w:val="0062765A"/>
    <w:rsid w:val="006363D9"/>
    <w:rsid w:val="00637A26"/>
    <w:rsid w:val="00650202"/>
    <w:rsid w:val="006516D9"/>
    <w:rsid w:val="00653B6B"/>
    <w:rsid w:val="00653FAA"/>
    <w:rsid w:val="00665B00"/>
    <w:rsid w:val="006661E3"/>
    <w:rsid w:val="006661FC"/>
    <w:rsid w:val="00675657"/>
    <w:rsid w:val="00681EA4"/>
    <w:rsid w:val="006873F3"/>
    <w:rsid w:val="00687575"/>
    <w:rsid w:val="00694238"/>
    <w:rsid w:val="00694969"/>
    <w:rsid w:val="0069583E"/>
    <w:rsid w:val="006A0CFE"/>
    <w:rsid w:val="006A2112"/>
    <w:rsid w:val="006B6751"/>
    <w:rsid w:val="006C48B8"/>
    <w:rsid w:val="006C5A21"/>
    <w:rsid w:val="006D166F"/>
    <w:rsid w:val="006D4AF3"/>
    <w:rsid w:val="006D5FC5"/>
    <w:rsid w:val="006D6E4A"/>
    <w:rsid w:val="006D7C65"/>
    <w:rsid w:val="006E577E"/>
    <w:rsid w:val="006E7F22"/>
    <w:rsid w:val="006F05AC"/>
    <w:rsid w:val="006F1DE7"/>
    <w:rsid w:val="006F2376"/>
    <w:rsid w:val="006F63D1"/>
    <w:rsid w:val="006F730F"/>
    <w:rsid w:val="007122D5"/>
    <w:rsid w:val="0071742B"/>
    <w:rsid w:val="00722A32"/>
    <w:rsid w:val="00726235"/>
    <w:rsid w:val="00733F0E"/>
    <w:rsid w:val="0073515A"/>
    <w:rsid w:val="007400ED"/>
    <w:rsid w:val="00742E2C"/>
    <w:rsid w:val="00745445"/>
    <w:rsid w:val="00746901"/>
    <w:rsid w:val="007556A0"/>
    <w:rsid w:val="00756487"/>
    <w:rsid w:val="00757C4B"/>
    <w:rsid w:val="00762699"/>
    <w:rsid w:val="00762E86"/>
    <w:rsid w:val="0076506D"/>
    <w:rsid w:val="00772C0B"/>
    <w:rsid w:val="00790B0D"/>
    <w:rsid w:val="007A6F18"/>
    <w:rsid w:val="007B51C5"/>
    <w:rsid w:val="007D3E98"/>
    <w:rsid w:val="007E30F7"/>
    <w:rsid w:val="007F4E3B"/>
    <w:rsid w:val="007F6533"/>
    <w:rsid w:val="00800EC0"/>
    <w:rsid w:val="00802243"/>
    <w:rsid w:val="00815835"/>
    <w:rsid w:val="008215F2"/>
    <w:rsid w:val="0082475D"/>
    <w:rsid w:val="0083758A"/>
    <w:rsid w:val="00840188"/>
    <w:rsid w:val="00853A3C"/>
    <w:rsid w:val="00873AA5"/>
    <w:rsid w:val="008853F7"/>
    <w:rsid w:val="008869FB"/>
    <w:rsid w:val="00892A22"/>
    <w:rsid w:val="00892A76"/>
    <w:rsid w:val="00892C00"/>
    <w:rsid w:val="0089678A"/>
    <w:rsid w:val="008A07D5"/>
    <w:rsid w:val="008A7030"/>
    <w:rsid w:val="008B3672"/>
    <w:rsid w:val="008C04FB"/>
    <w:rsid w:val="008C0FEE"/>
    <w:rsid w:val="008C4BA5"/>
    <w:rsid w:val="008C6717"/>
    <w:rsid w:val="008D0ADE"/>
    <w:rsid w:val="008D5902"/>
    <w:rsid w:val="008E1B38"/>
    <w:rsid w:val="008E79C4"/>
    <w:rsid w:val="00900CF1"/>
    <w:rsid w:val="009057F8"/>
    <w:rsid w:val="00910DDF"/>
    <w:rsid w:val="00912917"/>
    <w:rsid w:val="00913DA1"/>
    <w:rsid w:val="0091489A"/>
    <w:rsid w:val="00916FCB"/>
    <w:rsid w:val="00924B6B"/>
    <w:rsid w:val="00924D94"/>
    <w:rsid w:val="00924F51"/>
    <w:rsid w:val="00930A13"/>
    <w:rsid w:val="00932E0E"/>
    <w:rsid w:val="009422B3"/>
    <w:rsid w:val="00945D34"/>
    <w:rsid w:val="009535F5"/>
    <w:rsid w:val="009545C6"/>
    <w:rsid w:val="00954DC6"/>
    <w:rsid w:val="009553E0"/>
    <w:rsid w:val="00957F04"/>
    <w:rsid w:val="00964276"/>
    <w:rsid w:val="009802B1"/>
    <w:rsid w:val="00983C77"/>
    <w:rsid w:val="00990453"/>
    <w:rsid w:val="009A7699"/>
    <w:rsid w:val="009B5DDC"/>
    <w:rsid w:val="009C2CA6"/>
    <w:rsid w:val="009C5A61"/>
    <w:rsid w:val="009D0E0C"/>
    <w:rsid w:val="009E052D"/>
    <w:rsid w:val="009E29B2"/>
    <w:rsid w:val="009E3008"/>
    <w:rsid w:val="009E5903"/>
    <w:rsid w:val="009F4232"/>
    <w:rsid w:val="009F510D"/>
    <w:rsid w:val="009F6184"/>
    <w:rsid w:val="00A10B4A"/>
    <w:rsid w:val="00A270D6"/>
    <w:rsid w:val="00A27CA0"/>
    <w:rsid w:val="00A30584"/>
    <w:rsid w:val="00A3278E"/>
    <w:rsid w:val="00A37D3A"/>
    <w:rsid w:val="00A400EF"/>
    <w:rsid w:val="00A42F2A"/>
    <w:rsid w:val="00A52BE7"/>
    <w:rsid w:val="00A52E3A"/>
    <w:rsid w:val="00A53A0C"/>
    <w:rsid w:val="00A74033"/>
    <w:rsid w:val="00A93DFA"/>
    <w:rsid w:val="00A94038"/>
    <w:rsid w:val="00A96606"/>
    <w:rsid w:val="00AA005A"/>
    <w:rsid w:val="00AA0763"/>
    <w:rsid w:val="00AB0B38"/>
    <w:rsid w:val="00AC04AA"/>
    <w:rsid w:val="00AC1635"/>
    <w:rsid w:val="00AC6A56"/>
    <w:rsid w:val="00AC7128"/>
    <w:rsid w:val="00AD2093"/>
    <w:rsid w:val="00AE481C"/>
    <w:rsid w:val="00AE50CE"/>
    <w:rsid w:val="00B00E9C"/>
    <w:rsid w:val="00B00FCC"/>
    <w:rsid w:val="00B06796"/>
    <w:rsid w:val="00B10DD7"/>
    <w:rsid w:val="00B209C4"/>
    <w:rsid w:val="00B33B03"/>
    <w:rsid w:val="00B33C6A"/>
    <w:rsid w:val="00B36C49"/>
    <w:rsid w:val="00B420CB"/>
    <w:rsid w:val="00B4445E"/>
    <w:rsid w:val="00B536D5"/>
    <w:rsid w:val="00B54B31"/>
    <w:rsid w:val="00B55397"/>
    <w:rsid w:val="00B57743"/>
    <w:rsid w:val="00B625A6"/>
    <w:rsid w:val="00B6740A"/>
    <w:rsid w:val="00B800A6"/>
    <w:rsid w:val="00B81B31"/>
    <w:rsid w:val="00B837A5"/>
    <w:rsid w:val="00B909AC"/>
    <w:rsid w:val="00B92E83"/>
    <w:rsid w:val="00BA1012"/>
    <w:rsid w:val="00BA6086"/>
    <w:rsid w:val="00BB4108"/>
    <w:rsid w:val="00BC283C"/>
    <w:rsid w:val="00BC28C0"/>
    <w:rsid w:val="00BD7F91"/>
    <w:rsid w:val="00BE25F1"/>
    <w:rsid w:val="00BE4827"/>
    <w:rsid w:val="00C030D0"/>
    <w:rsid w:val="00C043D2"/>
    <w:rsid w:val="00C10797"/>
    <w:rsid w:val="00C14ADC"/>
    <w:rsid w:val="00C165B4"/>
    <w:rsid w:val="00C2048A"/>
    <w:rsid w:val="00C224D5"/>
    <w:rsid w:val="00C2703B"/>
    <w:rsid w:val="00C306A4"/>
    <w:rsid w:val="00C37757"/>
    <w:rsid w:val="00C41DA5"/>
    <w:rsid w:val="00C630C5"/>
    <w:rsid w:val="00C67EFD"/>
    <w:rsid w:val="00C731B3"/>
    <w:rsid w:val="00C77F11"/>
    <w:rsid w:val="00C811D5"/>
    <w:rsid w:val="00C959C2"/>
    <w:rsid w:val="00CA0A9A"/>
    <w:rsid w:val="00CA2ABF"/>
    <w:rsid w:val="00CC1FE9"/>
    <w:rsid w:val="00CD7AED"/>
    <w:rsid w:val="00CE1526"/>
    <w:rsid w:val="00CE160D"/>
    <w:rsid w:val="00CE3408"/>
    <w:rsid w:val="00CF0267"/>
    <w:rsid w:val="00D06751"/>
    <w:rsid w:val="00D07CB4"/>
    <w:rsid w:val="00D12368"/>
    <w:rsid w:val="00D206B4"/>
    <w:rsid w:val="00D3095E"/>
    <w:rsid w:val="00D318B6"/>
    <w:rsid w:val="00D33081"/>
    <w:rsid w:val="00D36441"/>
    <w:rsid w:val="00D40112"/>
    <w:rsid w:val="00D406D7"/>
    <w:rsid w:val="00D41650"/>
    <w:rsid w:val="00D67DF2"/>
    <w:rsid w:val="00D71E19"/>
    <w:rsid w:val="00D74B39"/>
    <w:rsid w:val="00D810BA"/>
    <w:rsid w:val="00D87345"/>
    <w:rsid w:val="00D90753"/>
    <w:rsid w:val="00D9692F"/>
    <w:rsid w:val="00D9738F"/>
    <w:rsid w:val="00DB2621"/>
    <w:rsid w:val="00DC0AC4"/>
    <w:rsid w:val="00E068F8"/>
    <w:rsid w:val="00E1152D"/>
    <w:rsid w:val="00E12C55"/>
    <w:rsid w:val="00E164C7"/>
    <w:rsid w:val="00E41AF8"/>
    <w:rsid w:val="00E422D2"/>
    <w:rsid w:val="00E42B0B"/>
    <w:rsid w:val="00E45AF3"/>
    <w:rsid w:val="00E527A3"/>
    <w:rsid w:val="00E52FC4"/>
    <w:rsid w:val="00E53C80"/>
    <w:rsid w:val="00E54FDB"/>
    <w:rsid w:val="00E62DC7"/>
    <w:rsid w:val="00E71444"/>
    <w:rsid w:val="00E908DB"/>
    <w:rsid w:val="00E946D3"/>
    <w:rsid w:val="00E968DD"/>
    <w:rsid w:val="00E96F7D"/>
    <w:rsid w:val="00EA4525"/>
    <w:rsid w:val="00EB2F65"/>
    <w:rsid w:val="00EB6E70"/>
    <w:rsid w:val="00EB7993"/>
    <w:rsid w:val="00EC357B"/>
    <w:rsid w:val="00EC394E"/>
    <w:rsid w:val="00EC426C"/>
    <w:rsid w:val="00ED166D"/>
    <w:rsid w:val="00EE33F9"/>
    <w:rsid w:val="00EF34F6"/>
    <w:rsid w:val="00F04535"/>
    <w:rsid w:val="00F06A50"/>
    <w:rsid w:val="00F07389"/>
    <w:rsid w:val="00F0739C"/>
    <w:rsid w:val="00F130C7"/>
    <w:rsid w:val="00F13927"/>
    <w:rsid w:val="00F261DF"/>
    <w:rsid w:val="00F33ABC"/>
    <w:rsid w:val="00F43A91"/>
    <w:rsid w:val="00F46F01"/>
    <w:rsid w:val="00F5173D"/>
    <w:rsid w:val="00F56FF1"/>
    <w:rsid w:val="00F750F4"/>
    <w:rsid w:val="00F82722"/>
    <w:rsid w:val="00F91BFB"/>
    <w:rsid w:val="00FA3F90"/>
    <w:rsid w:val="00FC0FF1"/>
    <w:rsid w:val="00FC33D1"/>
    <w:rsid w:val="00FD2511"/>
    <w:rsid w:val="00FE355B"/>
    <w:rsid w:val="00FE79BD"/>
    <w:rsid w:val="00FF1BE1"/>
    <w:rsid w:val="00FF42AF"/>
    <w:rsid w:val="00FF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BD"/>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0023BD"/>
    <w:pPr>
      <w:numPr>
        <w:numId w:val="1"/>
      </w:numPr>
      <w:ind w:left="720" w:hanging="720"/>
      <w:outlineLvl w:val="0"/>
    </w:pPr>
    <w:rPr>
      <w:kern w:val="28"/>
    </w:rPr>
  </w:style>
  <w:style w:type="paragraph" w:styleId="Heading2">
    <w:name w:val="heading 2"/>
    <w:basedOn w:val="Normal"/>
    <w:next w:val="Normal"/>
    <w:link w:val="Heading2Char"/>
    <w:qFormat/>
    <w:rsid w:val="000023BD"/>
    <w:pPr>
      <w:numPr>
        <w:ilvl w:val="1"/>
        <w:numId w:val="1"/>
      </w:numPr>
      <w:ind w:left="720" w:hanging="720"/>
      <w:outlineLvl w:val="1"/>
    </w:pPr>
  </w:style>
  <w:style w:type="paragraph" w:styleId="Heading3">
    <w:name w:val="heading 3"/>
    <w:basedOn w:val="Normal"/>
    <w:next w:val="Normal"/>
    <w:link w:val="Heading3Char"/>
    <w:qFormat/>
    <w:rsid w:val="000023BD"/>
    <w:pPr>
      <w:numPr>
        <w:ilvl w:val="2"/>
        <w:numId w:val="1"/>
      </w:numPr>
      <w:ind w:left="720" w:hanging="720"/>
      <w:outlineLvl w:val="2"/>
    </w:pPr>
  </w:style>
  <w:style w:type="paragraph" w:styleId="Heading4">
    <w:name w:val="heading 4"/>
    <w:basedOn w:val="Normal"/>
    <w:next w:val="Normal"/>
    <w:link w:val="Heading4Char"/>
    <w:qFormat/>
    <w:rsid w:val="000023BD"/>
    <w:pPr>
      <w:numPr>
        <w:ilvl w:val="3"/>
        <w:numId w:val="1"/>
      </w:numPr>
      <w:ind w:left="720" w:hanging="720"/>
      <w:outlineLvl w:val="3"/>
    </w:pPr>
  </w:style>
  <w:style w:type="paragraph" w:styleId="Heading5">
    <w:name w:val="heading 5"/>
    <w:basedOn w:val="Normal"/>
    <w:next w:val="Normal"/>
    <w:link w:val="Heading5Char"/>
    <w:qFormat/>
    <w:rsid w:val="000023BD"/>
    <w:pPr>
      <w:numPr>
        <w:ilvl w:val="4"/>
        <w:numId w:val="1"/>
      </w:numPr>
      <w:ind w:left="720" w:hanging="720"/>
      <w:outlineLvl w:val="4"/>
    </w:pPr>
  </w:style>
  <w:style w:type="paragraph" w:styleId="Heading6">
    <w:name w:val="heading 6"/>
    <w:basedOn w:val="Normal"/>
    <w:next w:val="Normal"/>
    <w:link w:val="Heading6Char"/>
    <w:qFormat/>
    <w:rsid w:val="000023BD"/>
    <w:pPr>
      <w:numPr>
        <w:ilvl w:val="5"/>
        <w:numId w:val="1"/>
      </w:numPr>
      <w:ind w:left="720" w:hanging="720"/>
      <w:outlineLvl w:val="5"/>
    </w:pPr>
  </w:style>
  <w:style w:type="paragraph" w:styleId="Heading7">
    <w:name w:val="heading 7"/>
    <w:basedOn w:val="Normal"/>
    <w:next w:val="Normal"/>
    <w:link w:val="Heading7Char"/>
    <w:qFormat/>
    <w:rsid w:val="000023BD"/>
    <w:pPr>
      <w:numPr>
        <w:ilvl w:val="6"/>
        <w:numId w:val="1"/>
      </w:numPr>
      <w:ind w:left="720" w:hanging="720"/>
      <w:outlineLvl w:val="6"/>
    </w:pPr>
  </w:style>
  <w:style w:type="paragraph" w:styleId="Heading8">
    <w:name w:val="heading 8"/>
    <w:basedOn w:val="Normal"/>
    <w:next w:val="Normal"/>
    <w:link w:val="Heading8Char"/>
    <w:qFormat/>
    <w:rsid w:val="000023BD"/>
    <w:pPr>
      <w:numPr>
        <w:ilvl w:val="7"/>
        <w:numId w:val="1"/>
      </w:numPr>
      <w:ind w:left="720" w:hanging="720"/>
      <w:outlineLvl w:val="7"/>
    </w:pPr>
  </w:style>
  <w:style w:type="paragraph" w:styleId="Heading9">
    <w:name w:val="heading 9"/>
    <w:basedOn w:val="Normal"/>
    <w:next w:val="Normal"/>
    <w:link w:val="Heading9Char"/>
    <w:qFormat/>
    <w:rsid w:val="000023B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91"/>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BD7F91"/>
    <w:rPr>
      <w:rFonts w:ascii="Times New Roman" w:eastAsia="Times New Roman" w:hAnsi="Times New Roman" w:cs="Times New Roman"/>
      <w:szCs w:val="20"/>
    </w:rPr>
  </w:style>
  <w:style w:type="character" w:customStyle="1" w:styleId="Heading3Char">
    <w:name w:val="Heading 3 Char"/>
    <w:basedOn w:val="DefaultParagraphFont"/>
    <w:link w:val="Heading3"/>
    <w:rsid w:val="00BD7F91"/>
    <w:rPr>
      <w:rFonts w:ascii="Times New Roman" w:eastAsia="Times New Roman" w:hAnsi="Times New Roman" w:cs="Times New Roman"/>
      <w:szCs w:val="20"/>
    </w:rPr>
  </w:style>
  <w:style w:type="character" w:customStyle="1" w:styleId="Heading4Char">
    <w:name w:val="Heading 4 Char"/>
    <w:basedOn w:val="DefaultParagraphFont"/>
    <w:link w:val="Heading4"/>
    <w:rsid w:val="00BD7F91"/>
    <w:rPr>
      <w:rFonts w:ascii="Times New Roman" w:eastAsia="Times New Roman" w:hAnsi="Times New Roman" w:cs="Times New Roman"/>
      <w:szCs w:val="20"/>
    </w:rPr>
  </w:style>
  <w:style w:type="character" w:customStyle="1" w:styleId="Heading5Char">
    <w:name w:val="Heading 5 Char"/>
    <w:basedOn w:val="DefaultParagraphFont"/>
    <w:link w:val="Heading5"/>
    <w:rsid w:val="00BD7F91"/>
    <w:rPr>
      <w:rFonts w:ascii="Times New Roman" w:eastAsia="Times New Roman" w:hAnsi="Times New Roman" w:cs="Times New Roman"/>
      <w:szCs w:val="20"/>
    </w:rPr>
  </w:style>
  <w:style w:type="character" w:customStyle="1" w:styleId="Heading6Char">
    <w:name w:val="Heading 6 Char"/>
    <w:basedOn w:val="DefaultParagraphFont"/>
    <w:link w:val="Heading6"/>
    <w:rsid w:val="00BD7F91"/>
    <w:rPr>
      <w:rFonts w:ascii="Times New Roman" w:eastAsia="Times New Roman" w:hAnsi="Times New Roman" w:cs="Times New Roman"/>
      <w:szCs w:val="20"/>
    </w:rPr>
  </w:style>
  <w:style w:type="character" w:customStyle="1" w:styleId="Heading7Char">
    <w:name w:val="Heading 7 Char"/>
    <w:basedOn w:val="DefaultParagraphFont"/>
    <w:link w:val="Heading7"/>
    <w:rsid w:val="00BD7F91"/>
    <w:rPr>
      <w:rFonts w:ascii="Times New Roman" w:eastAsia="Times New Roman" w:hAnsi="Times New Roman" w:cs="Times New Roman"/>
      <w:szCs w:val="20"/>
    </w:rPr>
  </w:style>
  <w:style w:type="character" w:customStyle="1" w:styleId="Heading8Char">
    <w:name w:val="Heading 8 Char"/>
    <w:basedOn w:val="DefaultParagraphFont"/>
    <w:link w:val="Heading8"/>
    <w:rsid w:val="00BD7F91"/>
    <w:rPr>
      <w:rFonts w:ascii="Times New Roman" w:eastAsia="Times New Roman" w:hAnsi="Times New Roman" w:cs="Times New Roman"/>
      <w:szCs w:val="20"/>
    </w:rPr>
  </w:style>
  <w:style w:type="character" w:customStyle="1" w:styleId="Heading9Char">
    <w:name w:val="Heading 9 Char"/>
    <w:basedOn w:val="DefaultParagraphFont"/>
    <w:link w:val="Heading9"/>
    <w:rsid w:val="00BD7F91"/>
    <w:rPr>
      <w:rFonts w:ascii="Times New Roman" w:eastAsia="Times New Roman" w:hAnsi="Times New Roman" w:cs="Times New Roman"/>
      <w:szCs w:val="20"/>
    </w:rPr>
  </w:style>
  <w:style w:type="paragraph" w:styleId="Footer">
    <w:name w:val="footer"/>
    <w:basedOn w:val="Normal"/>
    <w:link w:val="FooterChar"/>
    <w:rsid w:val="000023BD"/>
  </w:style>
  <w:style w:type="character" w:customStyle="1" w:styleId="FooterChar">
    <w:name w:val="Footer Char"/>
    <w:basedOn w:val="DefaultParagraphFont"/>
    <w:link w:val="Footer"/>
    <w:rsid w:val="00BD7F91"/>
    <w:rPr>
      <w:rFonts w:ascii="Times New Roman" w:eastAsia="Times New Roman" w:hAnsi="Times New Roman" w:cs="Times New Roman"/>
      <w:szCs w:val="20"/>
    </w:rPr>
  </w:style>
  <w:style w:type="paragraph" w:styleId="FootnoteText">
    <w:name w:val="footnote text"/>
    <w:basedOn w:val="Normal"/>
    <w:link w:val="FootnoteTextChar"/>
    <w:rsid w:val="000023BD"/>
    <w:pPr>
      <w:keepLines/>
      <w:spacing w:after="60" w:line="240" w:lineRule="auto"/>
      <w:ind w:left="720" w:hanging="720"/>
    </w:pPr>
    <w:rPr>
      <w:sz w:val="16"/>
    </w:rPr>
  </w:style>
  <w:style w:type="character" w:customStyle="1" w:styleId="FootnoteTextChar">
    <w:name w:val="Footnote Text Char"/>
    <w:basedOn w:val="DefaultParagraphFont"/>
    <w:link w:val="FootnoteText"/>
    <w:rsid w:val="00BD7F91"/>
    <w:rPr>
      <w:rFonts w:ascii="Times New Roman" w:eastAsia="Times New Roman" w:hAnsi="Times New Roman" w:cs="Times New Roman"/>
      <w:sz w:val="16"/>
      <w:szCs w:val="20"/>
    </w:rPr>
  </w:style>
  <w:style w:type="paragraph" w:styleId="Header">
    <w:name w:val="header"/>
    <w:basedOn w:val="Normal"/>
    <w:link w:val="HeaderChar"/>
    <w:rsid w:val="000023BD"/>
  </w:style>
  <w:style w:type="character" w:customStyle="1" w:styleId="HeaderChar">
    <w:name w:val="Header Char"/>
    <w:basedOn w:val="DefaultParagraphFont"/>
    <w:link w:val="Header"/>
    <w:rsid w:val="00BD7F91"/>
    <w:rPr>
      <w:rFonts w:ascii="Times New Roman" w:eastAsia="Times New Roman" w:hAnsi="Times New Roman" w:cs="Times New Roman"/>
      <w:szCs w:val="20"/>
    </w:rPr>
  </w:style>
  <w:style w:type="character" w:styleId="FootnoteReference">
    <w:name w:val="footnote reference"/>
    <w:basedOn w:val="DefaultParagraphFont"/>
    <w:rsid w:val="000023BD"/>
    <w:rPr>
      <w:sz w:val="24"/>
      <w:vertAlign w:val="superscript"/>
    </w:rPr>
  </w:style>
  <w:style w:type="character" w:styleId="Hyperlink">
    <w:name w:val="Hyperlink"/>
    <w:rsid w:val="00BD7F91"/>
    <w:rPr>
      <w:color w:val="0000FF"/>
      <w:u w:val="single"/>
    </w:rPr>
  </w:style>
  <w:style w:type="paragraph" w:styleId="ListParagraph">
    <w:name w:val="List Paragraph"/>
    <w:basedOn w:val="Normal"/>
    <w:uiPriority w:val="34"/>
    <w:qFormat/>
    <w:rsid w:val="00565AF6"/>
    <w:pPr>
      <w:ind w:left="720"/>
      <w:contextualSpacing/>
    </w:pPr>
  </w:style>
  <w:style w:type="table" w:styleId="TableGrid">
    <w:name w:val="Table Grid"/>
    <w:basedOn w:val="TableNormal"/>
    <w:uiPriority w:val="59"/>
    <w:rsid w:val="009E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C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BD"/>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0023BD"/>
    <w:pPr>
      <w:numPr>
        <w:numId w:val="1"/>
      </w:numPr>
      <w:ind w:left="720" w:hanging="720"/>
      <w:outlineLvl w:val="0"/>
    </w:pPr>
    <w:rPr>
      <w:kern w:val="28"/>
    </w:rPr>
  </w:style>
  <w:style w:type="paragraph" w:styleId="Heading2">
    <w:name w:val="heading 2"/>
    <w:basedOn w:val="Normal"/>
    <w:next w:val="Normal"/>
    <w:link w:val="Heading2Char"/>
    <w:qFormat/>
    <w:rsid w:val="000023BD"/>
    <w:pPr>
      <w:numPr>
        <w:ilvl w:val="1"/>
        <w:numId w:val="1"/>
      </w:numPr>
      <w:ind w:left="720" w:hanging="720"/>
      <w:outlineLvl w:val="1"/>
    </w:pPr>
  </w:style>
  <w:style w:type="paragraph" w:styleId="Heading3">
    <w:name w:val="heading 3"/>
    <w:basedOn w:val="Normal"/>
    <w:next w:val="Normal"/>
    <w:link w:val="Heading3Char"/>
    <w:qFormat/>
    <w:rsid w:val="000023BD"/>
    <w:pPr>
      <w:numPr>
        <w:ilvl w:val="2"/>
        <w:numId w:val="1"/>
      </w:numPr>
      <w:ind w:left="720" w:hanging="720"/>
      <w:outlineLvl w:val="2"/>
    </w:pPr>
  </w:style>
  <w:style w:type="paragraph" w:styleId="Heading4">
    <w:name w:val="heading 4"/>
    <w:basedOn w:val="Normal"/>
    <w:next w:val="Normal"/>
    <w:link w:val="Heading4Char"/>
    <w:qFormat/>
    <w:rsid w:val="000023BD"/>
    <w:pPr>
      <w:numPr>
        <w:ilvl w:val="3"/>
        <w:numId w:val="1"/>
      </w:numPr>
      <w:ind w:left="720" w:hanging="720"/>
      <w:outlineLvl w:val="3"/>
    </w:pPr>
  </w:style>
  <w:style w:type="paragraph" w:styleId="Heading5">
    <w:name w:val="heading 5"/>
    <w:basedOn w:val="Normal"/>
    <w:next w:val="Normal"/>
    <w:link w:val="Heading5Char"/>
    <w:qFormat/>
    <w:rsid w:val="000023BD"/>
    <w:pPr>
      <w:numPr>
        <w:ilvl w:val="4"/>
        <w:numId w:val="1"/>
      </w:numPr>
      <w:ind w:left="720" w:hanging="720"/>
      <w:outlineLvl w:val="4"/>
    </w:pPr>
  </w:style>
  <w:style w:type="paragraph" w:styleId="Heading6">
    <w:name w:val="heading 6"/>
    <w:basedOn w:val="Normal"/>
    <w:next w:val="Normal"/>
    <w:link w:val="Heading6Char"/>
    <w:qFormat/>
    <w:rsid w:val="000023BD"/>
    <w:pPr>
      <w:numPr>
        <w:ilvl w:val="5"/>
        <w:numId w:val="1"/>
      </w:numPr>
      <w:ind w:left="720" w:hanging="720"/>
      <w:outlineLvl w:val="5"/>
    </w:pPr>
  </w:style>
  <w:style w:type="paragraph" w:styleId="Heading7">
    <w:name w:val="heading 7"/>
    <w:basedOn w:val="Normal"/>
    <w:next w:val="Normal"/>
    <w:link w:val="Heading7Char"/>
    <w:qFormat/>
    <w:rsid w:val="000023BD"/>
    <w:pPr>
      <w:numPr>
        <w:ilvl w:val="6"/>
        <w:numId w:val="1"/>
      </w:numPr>
      <w:ind w:left="720" w:hanging="720"/>
      <w:outlineLvl w:val="6"/>
    </w:pPr>
  </w:style>
  <w:style w:type="paragraph" w:styleId="Heading8">
    <w:name w:val="heading 8"/>
    <w:basedOn w:val="Normal"/>
    <w:next w:val="Normal"/>
    <w:link w:val="Heading8Char"/>
    <w:qFormat/>
    <w:rsid w:val="000023BD"/>
    <w:pPr>
      <w:numPr>
        <w:ilvl w:val="7"/>
        <w:numId w:val="1"/>
      </w:numPr>
      <w:ind w:left="720" w:hanging="720"/>
      <w:outlineLvl w:val="7"/>
    </w:pPr>
  </w:style>
  <w:style w:type="paragraph" w:styleId="Heading9">
    <w:name w:val="heading 9"/>
    <w:basedOn w:val="Normal"/>
    <w:next w:val="Normal"/>
    <w:link w:val="Heading9Char"/>
    <w:qFormat/>
    <w:rsid w:val="000023B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91"/>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BD7F91"/>
    <w:rPr>
      <w:rFonts w:ascii="Times New Roman" w:eastAsia="Times New Roman" w:hAnsi="Times New Roman" w:cs="Times New Roman"/>
      <w:szCs w:val="20"/>
    </w:rPr>
  </w:style>
  <w:style w:type="character" w:customStyle="1" w:styleId="Heading3Char">
    <w:name w:val="Heading 3 Char"/>
    <w:basedOn w:val="DefaultParagraphFont"/>
    <w:link w:val="Heading3"/>
    <w:rsid w:val="00BD7F91"/>
    <w:rPr>
      <w:rFonts w:ascii="Times New Roman" w:eastAsia="Times New Roman" w:hAnsi="Times New Roman" w:cs="Times New Roman"/>
      <w:szCs w:val="20"/>
    </w:rPr>
  </w:style>
  <w:style w:type="character" w:customStyle="1" w:styleId="Heading4Char">
    <w:name w:val="Heading 4 Char"/>
    <w:basedOn w:val="DefaultParagraphFont"/>
    <w:link w:val="Heading4"/>
    <w:rsid w:val="00BD7F91"/>
    <w:rPr>
      <w:rFonts w:ascii="Times New Roman" w:eastAsia="Times New Roman" w:hAnsi="Times New Roman" w:cs="Times New Roman"/>
      <w:szCs w:val="20"/>
    </w:rPr>
  </w:style>
  <w:style w:type="character" w:customStyle="1" w:styleId="Heading5Char">
    <w:name w:val="Heading 5 Char"/>
    <w:basedOn w:val="DefaultParagraphFont"/>
    <w:link w:val="Heading5"/>
    <w:rsid w:val="00BD7F91"/>
    <w:rPr>
      <w:rFonts w:ascii="Times New Roman" w:eastAsia="Times New Roman" w:hAnsi="Times New Roman" w:cs="Times New Roman"/>
      <w:szCs w:val="20"/>
    </w:rPr>
  </w:style>
  <w:style w:type="character" w:customStyle="1" w:styleId="Heading6Char">
    <w:name w:val="Heading 6 Char"/>
    <w:basedOn w:val="DefaultParagraphFont"/>
    <w:link w:val="Heading6"/>
    <w:rsid w:val="00BD7F91"/>
    <w:rPr>
      <w:rFonts w:ascii="Times New Roman" w:eastAsia="Times New Roman" w:hAnsi="Times New Roman" w:cs="Times New Roman"/>
      <w:szCs w:val="20"/>
    </w:rPr>
  </w:style>
  <w:style w:type="character" w:customStyle="1" w:styleId="Heading7Char">
    <w:name w:val="Heading 7 Char"/>
    <w:basedOn w:val="DefaultParagraphFont"/>
    <w:link w:val="Heading7"/>
    <w:rsid w:val="00BD7F91"/>
    <w:rPr>
      <w:rFonts w:ascii="Times New Roman" w:eastAsia="Times New Roman" w:hAnsi="Times New Roman" w:cs="Times New Roman"/>
      <w:szCs w:val="20"/>
    </w:rPr>
  </w:style>
  <w:style w:type="character" w:customStyle="1" w:styleId="Heading8Char">
    <w:name w:val="Heading 8 Char"/>
    <w:basedOn w:val="DefaultParagraphFont"/>
    <w:link w:val="Heading8"/>
    <w:rsid w:val="00BD7F91"/>
    <w:rPr>
      <w:rFonts w:ascii="Times New Roman" w:eastAsia="Times New Roman" w:hAnsi="Times New Roman" w:cs="Times New Roman"/>
      <w:szCs w:val="20"/>
    </w:rPr>
  </w:style>
  <w:style w:type="character" w:customStyle="1" w:styleId="Heading9Char">
    <w:name w:val="Heading 9 Char"/>
    <w:basedOn w:val="DefaultParagraphFont"/>
    <w:link w:val="Heading9"/>
    <w:rsid w:val="00BD7F91"/>
    <w:rPr>
      <w:rFonts w:ascii="Times New Roman" w:eastAsia="Times New Roman" w:hAnsi="Times New Roman" w:cs="Times New Roman"/>
      <w:szCs w:val="20"/>
    </w:rPr>
  </w:style>
  <w:style w:type="paragraph" w:styleId="Footer">
    <w:name w:val="footer"/>
    <w:basedOn w:val="Normal"/>
    <w:link w:val="FooterChar"/>
    <w:rsid w:val="000023BD"/>
  </w:style>
  <w:style w:type="character" w:customStyle="1" w:styleId="FooterChar">
    <w:name w:val="Footer Char"/>
    <w:basedOn w:val="DefaultParagraphFont"/>
    <w:link w:val="Footer"/>
    <w:rsid w:val="00BD7F91"/>
    <w:rPr>
      <w:rFonts w:ascii="Times New Roman" w:eastAsia="Times New Roman" w:hAnsi="Times New Roman" w:cs="Times New Roman"/>
      <w:szCs w:val="20"/>
    </w:rPr>
  </w:style>
  <w:style w:type="paragraph" w:styleId="FootnoteText">
    <w:name w:val="footnote text"/>
    <w:basedOn w:val="Normal"/>
    <w:link w:val="FootnoteTextChar"/>
    <w:rsid w:val="000023BD"/>
    <w:pPr>
      <w:keepLines/>
      <w:spacing w:after="60" w:line="240" w:lineRule="auto"/>
      <w:ind w:left="720" w:hanging="720"/>
    </w:pPr>
    <w:rPr>
      <w:sz w:val="16"/>
    </w:rPr>
  </w:style>
  <w:style w:type="character" w:customStyle="1" w:styleId="FootnoteTextChar">
    <w:name w:val="Footnote Text Char"/>
    <w:basedOn w:val="DefaultParagraphFont"/>
    <w:link w:val="FootnoteText"/>
    <w:rsid w:val="00BD7F91"/>
    <w:rPr>
      <w:rFonts w:ascii="Times New Roman" w:eastAsia="Times New Roman" w:hAnsi="Times New Roman" w:cs="Times New Roman"/>
      <w:sz w:val="16"/>
      <w:szCs w:val="20"/>
    </w:rPr>
  </w:style>
  <w:style w:type="paragraph" w:styleId="Header">
    <w:name w:val="header"/>
    <w:basedOn w:val="Normal"/>
    <w:link w:val="HeaderChar"/>
    <w:rsid w:val="000023BD"/>
  </w:style>
  <w:style w:type="character" w:customStyle="1" w:styleId="HeaderChar">
    <w:name w:val="Header Char"/>
    <w:basedOn w:val="DefaultParagraphFont"/>
    <w:link w:val="Header"/>
    <w:rsid w:val="00BD7F91"/>
    <w:rPr>
      <w:rFonts w:ascii="Times New Roman" w:eastAsia="Times New Roman" w:hAnsi="Times New Roman" w:cs="Times New Roman"/>
      <w:szCs w:val="20"/>
    </w:rPr>
  </w:style>
  <w:style w:type="character" w:styleId="FootnoteReference">
    <w:name w:val="footnote reference"/>
    <w:basedOn w:val="DefaultParagraphFont"/>
    <w:rsid w:val="000023BD"/>
    <w:rPr>
      <w:sz w:val="24"/>
      <w:vertAlign w:val="superscript"/>
    </w:rPr>
  </w:style>
  <w:style w:type="character" w:styleId="Hyperlink">
    <w:name w:val="Hyperlink"/>
    <w:rsid w:val="00BD7F91"/>
    <w:rPr>
      <w:color w:val="0000FF"/>
      <w:u w:val="single"/>
    </w:rPr>
  </w:style>
  <w:style w:type="paragraph" w:styleId="ListParagraph">
    <w:name w:val="List Paragraph"/>
    <w:basedOn w:val="Normal"/>
    <w:uiPriority w:val="34"/>
    <w:qFormat/>
    <w:rsid w:val="00565AF6"/>
    <w:pPr>
      <w:ind w:left="720"/>
      <w:contextualSpacing/>
    </w:pPr>
  </w:style>
  <w:style w:type="table" w:styleId="TableGrid">
    <w:name w:val="Table Grid"/>
    <w:basedOn w:val="TableNormal"/>
    <w:uiPriority w:val="59"/>
    <w:rsid w:val="009E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C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236">
      <w:bodyDiv w:val="1"/>
      <w:marLeft w:val="0"/>
      <w:marRight w:val="0"/>
      <w:marTop w:val="0"/>
      <w:marBottom w:val="0"/>
      <w:divBdr>
        <w:top w:val="none" w:sz="0" w:space="0" w:color="auto"/>
        <w:left w:val="none" w:sz="0" w:space="0" w:color="auto"/>
        <w:bottom w:val="none" w:sz="0" w:space="0" w:color="auto"/>
        <w:right w:val="none" w:sz="0" w:space="0" w:color="auto"/>
      </w:divBdr>
    </w:div>
    <w:div w:id="809979170">
      <w:bodyDiv w:val="1"/>
      <w:marLeft w:val="0"/>
      <w:marRight w:val="0"/>
      <w:marTop w:val="0"/>
      <w:marBottom w:val="0"/>
      <w:divBdr>
        <w:top w:val="none" w:sz="0" w:space="0" w:color="auto"/>
        <w:left w:val="none" w:sz="0" w:space="0" w:color="auto"/>
        <w:bottom w:val="none" w:sz="0" w:space="0" w:color="auto"/>
        <w:right w:val="none" w:sz="0" w:space="0" w:color="auto"/>
      </w:divBdr>
      <w:divsChild>
        <w:div w:id="683555121">
          <w:marLeft w:val="0"/>
          <w:marRight w:val="0"/>
          <w:marTop w:val="0"/>
          <w:marBottom w:val="0"/>
          <w:divBdr>
            <w:top w:val="none" w:sz="0" w:space="0" w:color="auto"/>
            <w:left w:val="none" w:sz="0" w:space="0" w:color="auto"/>
            <w:bottom w:val="none" w:sz="0" w:space="0" w:color="auto"/>
            <w:right w:val="none" w:sz="0" w:space="0" w:color="auto"/>
          </w:divBdr>
          <w:divsChild>
            <w:div w:id="61605442">
              <w:marLeft w:val="0"/>
              <w:marRight w:val="0"/>
              <w:marTop w:val="0"/>
              <w:marBottom w:val="0"/>
              <w:divBdr>
                <w:top w:val="none" w:sz="0" w:space="0" w:color="auto"/>
                <w:left w:val="none" w:sz="0" w:space="0" w:color="auto"/>
                <w:bottom w:val="none" w:sz="0" w:space="0" w:color="auto"/>
                <w:right w:val="none" w:sz="0" w:space="0" w:color="auto"/>
              </w:divBdr>
              <w:divsChild>
                <w:div w:id="981617082">
                  <w:marLeft w:val="0"/>
                  <w:marRight w:val="0"/>
                  <w:marTop w:val="0"/>
                  <w:marBottom w:val="0"/>
                  <w:divBdr>
                    <w:top w:val="none" w:sz="0" w:space="0" w:color="auto"/>
                    <w:left w:val="none" w:sz="0" w:space="0" w:color="auto"/>
                    <w:bottom w:val="none" w:sz="0" w:space="0" w:color="auto"/>
                    <w:right w:val="none" w:sz="0" w:space="0" w:color="auto"/>
                  </w:divBdr>
                  <w:divsChild>
                    <w:div w:id="1435712080">
                      <w:marLeft w:val="0"/>
                      <w:marRight w:val="0"/>
                      <w:marTop w:val="0"/>
                      <w:marBottom w:val="0"/>
                      <w:divBdr>
                        <w:top w:val="none" w:sz="0" w:space="0" w:color="auto"/>
                        <w:left w:val="none" w:sz="0" w:space="0" w:color="auto"/>
                        <w:bottom w:val="none" w:sz="0" w:space="0" w:color="auto"/>
                        <w:right w:val="none" w:sz="0" w:space="0" w:color="auto"/>
                      </w:divBdr>
                      <w:divsChild>
                        <w:div w:id="2137216352">
                          <w:marLeft w:val="0"/>
                          <w:marRight w:val="0"/>
                          <w:marTop w:val="0"/>
                          <w:marBottom w:val="0"/>
                          <w:divBdr>
                            <w:top w:val="none" w:sz="0" w:space="0" w:color="auto"/>
                            <w:left w:val="none" w:sz="0" w:space="0" w:color="auto"/>
                            <w:bottom w:val="none" w:sz="0" w:space="0" w:color="auto"/>
                            <w:right w:val="none" w:sz="0" w:space="0" w:color="auto"/>
                          </w:divBdr>
                          <w:divsChild>
                            <w:div w:id="905215548">
                              <w:marLeft w:val="0"/>
                              <w:marRight w:val="0"/>
                              <w:marTop w:val="0"/>
                              <w:marBottom w:val="0"/>
                              <w:divBdr>
                                <w:top w:val="none" w:sz="0" w:space="0" w:color="auto"/>
                                <w:left w:val="none" w:sz="0" w:space="0" w:color="auto"/>
                                <w:bottom w:val="none" w:sz="0" w:space="0" w:color="auto"/>
                                <w:right w:val="none" w:sz="0" w:space="0" w:color="auto"/>
                              </w:divBdr>
                              <w:divsChild>
                                <w:div w:id="842815232">
                                  <w:marLeft w:val="0"/>
                                  <w:marRight w:val="0"/>
                                  <w:marTop w:val="0"/>
                                  <w:marBottom w:val="0"/>
                                  <w:divBdr>
                                    <w:top w:val="none" w:sz="0" w:space="0" w:color="auto"/>
                                    <w:left w:val="none" w:sz="0" w:space="0" w:color="auto"/>
                                    <w:bottom w:val="none" w:sz="0" w:space="0" w:color="auto"/>
                                    <w:right w:val="none" w:sz="0" w:space="0" w:color="auto"/>
                                  </w:divBdr>
                                  <w:divsChild>
                                    <w:div w:id="1613131518">
                                      <w:marLeft w:val="0"/>
                                      <w:marRight w:val="0"/>
                                      <w:marTop w:val="0"/>
                                      <w:marBottom w:val="0"/>
                                      <w:divBdr>
                                        <w:top w:val="none" w:sz="0" w:space="0" w:color="auto"/>
                                        <w:left w:val="single" w:sz="6" w:space="0" w:color="DADADA"/>
                                        <w:bottom w:val="none" w:sz="0" w:space="0" w:color="auto"/>
                                        <w:right w:val="none" w:sz="0" w:space="0" w:color="auto"/>
                                      </w:divBdr>
                                      <w:divsChild>
                                        <w:div w:id="52897804">
                                          <w:marLeft w:val="0"/>
                                          <w:marRight w:val="0"/>
                                          <w:marTop w:val="0"/>
                                          <w:marBottom w:val="0"/>
                                          <w:divBdr>
                                            <w:top w:val="none" w:sz="0" w:space="0" w:color="auto"/>
                                            <w:left w:val="none" w:sz="0" w:space="0" w:color="auto"/>
                                            <w:bottom w:val="none" w:sz="0" w:space="0" w:color="auto"/>
                                            <w:right w:val="none" w:sz="0" w:space="0" w:color="auto"/>
                                          </w:divBdr>
                                          <w:divsChild>
                                            <w:div w:id="1798834887">
                                              <w:marLeft w:val="0"/>
                                              <w:marRight w:val="0"/>
                                              <w:marTop w:val="0"/>
                                              <w:marBottom w:val="0"/>
                                              <w:divBdr>
                                                <w:top w:val="none" w:sz="0" w:space="0" w:color="auto"/>
                                                <w:left w:val="none" w:sz="0" w:space="0" w:color="auto"/>
                                                <w:bottom w:val="none" w:sz="0" w:space="0" w:color="auto"/>
                                                <w:right w:val="single" w:sz="6" w:space="0" w:color="DADADA"/>
                                              </w:divBdr>
                                              <w:divsChild>
                                                <w:div w:id="1806308676">
                                                  <w:marLeft w:val="0"/>
                                                  <w:marRight w:val="0"/>
                                                  <w:marTop w:val="0"/>
                                                  <w:marBottom w:val="0"/>
                                                  <w:divBdr>
                                                    <w:top w:val="none" w:sz="0" w:space="0" w:color="auto"/>
                                                    <w:left w:val="none" w:sz="0" w:space="0" w:color="auto"/>
                                                    <w:bottom w:val="none" w:sz="0" w:space="0" w:color="auto"/>
                                                    <w:right w:val="none" w:sz="0" w:space="0" w:color="auto"/>
                                                  </w:divBdr>
                                                  <w:divsChild>
                                                    <w:div w:id="292101028">
                                                      <w:marLeft w:val="0"/>
                                                      <w:marRight w:val="0"/>
                                                      <w:marTop w:val="0"/>
                                                      <w:marBottom w:val="0"/>
                                                      <w:divBdr>
                                                        <w:top w:val="none" w:sz="0" w:space="0" w:color="auto"/>
                                                        <w:left w:val="none" w:sz="0" w:space="0" w:color="auto"/>
                                                        <w:bottom w:val="none" w:sz="0" w:space="0" w:color="auto"/>
                                                        <w:right w:val="none" w:sz="0" w:space="0" w:color="auto"/>
                                                      </w:divBdr>
                                                      <w:divsChild>
                                                        <w:div w:id="2090080278">
                                                          <w:marLeft w:val="0"/>
                                                          <w:marRight w:val="0"/>
                                                          <w:marTop w:val="0"/>
                                                          <w:marBottom w:val="0"/>
                                                          <w:divBdr>
                                                            <w:top w:val="none" w:sz="0" w:space="0" w:color="auto"/>
                                                            <w:left w:val="none" w:sz="0" w:space="0" w:color="auto"/>
                                                            <w:bottom w:val="none" w:sz="0" w:space="0" w:color="auto"/>
                                                            <w:right w:val="none" w:sz="0" w:space="0" w:color="auto"/>
                                                          </w:divBdr>
                                                          <w:divsChild>
                                                            <w:div w:id="1641501345">
                                                              <w:marLeft w:val="0"/>
                                                              <w:marRight w:val="0"/>
                                                              <w:marTop w:val="0"/>
                                                              <w:marBottom w:val="0"/>
                                                              <w:divBdr>
                                                                <w:top w:val="none" w:sz="0" w:space="0" w:color="auto"/>
                                                                <w:left w:val="none" w:sz="0" w:space="0" w:color="auto"/>
                                                                <w:bottom w:val="none" w:sz="0" w:space="0" w:color="auto"/>
                                                                <w:right w:val="none" w:sz="0" w:space="0" w:color="auto"/>
                                                              </w:divBdr>
                                                              <w:divsChild>
                                                                <w:div w:id="1507817653">
                                                                  <w:marLeft w:val="0"/>
                                                                  <w:marRight w:val="0"/>
                                                                  <w:marTop w:val="0"/>
                                                                  <w:marBottom w:val="0"/>
                                                                  <w:divBdr>
                                                                    <w:top w:val="none" w:sz="0" w:space="0" w:color="auto"/>
                                                                    <w:left w:val="none" w:sz="0" w:space="0" w:color="auto"/>
                                                                    <w:bottom w:val="none" w:sz="0" w:space="0" w:color="auto"/>
                                                                    <w:right w:val="none" w:sz="0" w:space="0" w:color="auto"/>
                                                                  </w:divBdr>
                                                                  <w:divsChild>
                                                                    <w:div w:id="797337719">
                                                                      <w:marLeft w:val="0"/>
                                                                      <w:marRight w:val="0"/>
                                                                      <w:marTop w:val="0"/>
                                                                      <w:marBottom w:val="0"/>
                                                                      <w:divBdr>
                                                                        <w:top w:val="none" w:sz="0" w:space="0" w:color="auto"/>
                                                                        <w:left w:val="none" w:sz="0" w:space="0" w:color="auto"/>
                                                                        <w:bottom w:val="none" w:sz="0" w:space="0" w:color="auto"/>
                                                                        <w:right w:val="none" w:sz="0" w:space="0" w:color="auto"/>
                                                                      </w:divBdr>
                                                                      <w:divsChild>
                                                                        <w:div w:id="1203790739">
                                                                          <w:marLeft w:val="0"/>
                                                                          <w:marRight w:val="0"/>
                                                                          <w:marTop w:val="0"/>
                                                                          <w:marBottom w:val="0"/>
                                                                          <w:divBdr>
                                                                            <w:top w:val="none" w:sz="0" w:space="0" w:color="auto"/>
                                                                            <w:left w:val="none" w:sz="0" w:space="0" w:color="auto"/>
                                                                            <w:bottom w:val="none" w:sz="0" w:space="0" w:color="auto"/>
                                                                            <w:right w:val="none" w:sz="0" w:space="0" w:color="auto"/>
                                                                          </w:divBdr>
                                                                          <w:divsChild>
                                                                            <w:div w:id="1606618595">
                                                                              <w:marLeft w:val="0"/>
                                                                              <w:marRight w:val="0"/>
                                                                              <w:marTop w:val="0"/>
                                                                              <w:marBottom w:val="0"/>
                                                                              <w:divBdr>
                                                                                <w:top w:val="none" w:sz="0" w:space="0" w:color="auto"/>
                                                                                <w:left w:val="none" w:sz="0" w:space="0" w:color="auto"/>
                                                                                <w:bottom w:val="none" w:sz="0" w:space="0" w:color="auto"/>
                                                                                <w:right w:val="none" w:sz="0" w:space="0" w:color="auto"/>
                                                                              </w:divBdr>
                                                                              <w:divsChild>
                                                                                <w:div w:id="1027171528">
                                                                                  <w:marLeft w:val="0"/>
                                                                                  <w:marRight w:val="0"/>
                                                                                  <w:marTop w:val="0"/>
                                                                                  <w:marBottom w:val="0"/>
                                                                                  <w:divBdr>
                                                                                    <w:top w:val="none" w:sz="0" w:space="0" w:color="auto"/>
                                                                                    <w:left w:val="none" w:sz="0" w:space="0" w:color="auto"/>
                                                                                    <w:bottom w:val="none" w:sz="0" w:space="0" w:color="auto"/>
                                                                                    <w:right w:val="none" w:sz="0" w:space="0" w:color="auto"/>
                                                                                  </w:divBdr>
                                                                                  <w:divsChild>
                                                                                    <w:div w:id="2010057006">
                                                                                      <w:marLeft w:val="0"/>
                                                                                      <w:marRight w:val="0"/>
                                                                                      <w:marTop w:val="0"/>
                                                                                      <w:marBottom w:val="0"/>
                                                                                      <w:divBdr>
                                                                                        <w:top w:val="none" w:sz="0" w:space="0" w:color="auto"/>
                                                                                        <w:left w:val="none" w:sz="0" w:space="0" w:color="auto"/>
                                                                                        <w:bottom w:val="none" w:sz="0" w:space="0" w:color="auto"/>
                                                                                        <w:right w:val="none" w:sz="0" w:space="0" w:color="auto"/>
                                                                                      </w:divBdr>
                                                                                      <w:divsChild>
                                                                                        <w:div w:id="283386332">
                                                                                          <w:marLeft w:val="0"/>
                                                                                          <w:marRight w:val="0"/>
                                                                                          <w:marTop w:val="0"/>
                                                                                          <w:marBottom w:val="0"/>
                                                                                          <w:divBdr>
                                                                                            <w:top w:val="none" w:sz="0" w:space="0" w:color="auto"/>
                                                                                            <w:left w:val="none" w:sz="0" w:space="0" w:color="auto"/>
                                                                                            <w:bottom w:val="none" w:sz="0" w:space="0" w:color="auto"/>
                                                                                            <w:right w:val="none" w:sz="0" w:space="0" w:color="auto"/>
                                                                                          </w:divBdr>
                                                                                          <w:divsChild>
                                                                                            <w:div w:id="1905943439">
                                                                                              <w:marLeft w:val="0"/>
                                                                                              <w:marRight w:val="0"/>
                                                                                              <w:marTop w:val="0"/>
                                                                                              <w:marBottom w:val="0"/>
                                                                                              <w:divBdr>
                                                                                                <w:top w:val="none" w:sz="0" w:space="0" w:color="auto"/>
                                                                                                <w:left w:val="none" w:sz="0" w:space="0" w:color="auto"/>
                                                                                                <w:bottom w:val="none" w:sz="0" w:space="0" w:color="auto"/>
                                                                                                <w:right w:val="none" w:sz="0" w:space="0" w:color="auto"/>
                                                                                              </w:divBdr>
                                                                                              <w:divsChild>
                                                                                                <w:div w:id="210579777">
                                                                                                  <w:marLeft w:val="0"/>
                                                                                                  <w:marRight w:val="0"/>
                                                                                                  <w:marTop w:val="0"/>
                                                                                                  <w:marBottom w:val="0"/>
                                                                                                  <w:divBdr>
                                                                                                    <w:top w:val="none" w:sz="0" w:space="0" w:color="auto"/>
                                                                                                    <w:left w:val="none" w:sz="0" w:space="0" w:color="auto"/>
                                                                                                    <w:bottom w:val="none" w:sz="0" w:space="0" w:color="auto"/>
                                                                                                    <w:right w:val="none" w:sz="0" w:space="0" w:color="auto"/>
                                                                                                  </w:divBdr>
                                                                                                </w:div>
                                                                                                <w:div w:id="4610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064753">
      <w:bodyDiv w:val="1"/>
      <w:marLeft w:val="0"/>
      <w:marRight w:val="0"/>
      <w:marTop w:val="0"/>
      <w:marBottom w:val="0"/>
      <w:divBdr>
        <w:top w:val="none" w:sz="0" w:space="0" w:color="auto"/>
        <w:left w:val="none" w:sz="0" w:space="0" w:color="auto"/>
        <w:bottom w:val="none" w:sz="0" w:space="0" w:color="auto"/>
        <w:right w:val="none" w:sz="0" w:space="0" w:color="auto"/>
      </w:divBdr>
    </w:div>
    <w:div w:id="14490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CORWEB-1797567310-299</_dlc_DocId>
    <_dlc_DocIdUrl xmlns="61ca3f1a-19f4-461d-a43b-0b5ad97b08be">
      <Url>https://prod-portal.cor.europa.eu/_layouts/15/DocIdRedir.aspx?ID=CORWEB-1797567310-299</Url>
      <Description>CORWEB-1797567310-299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B8822A-1FCF-45E5-82A2-737193330637}"/>
</file>

<file path=customXml/itemProps2.xml><?xml version="1.0" encoding="utf-8"?>
<ds:datastoreItem xmlns:ds="http://schemas.openxmlformats.org/officeDocument/2006/customXml" ds:itemID="{03248107-797E-4592-B3DA-A91BDAC98BED}"/>
</file>

<file path=customXml/itemProps3.xml><?xml version="1.0" encoding="utf-8"?>
<ds:datastoreItem xmlns:ds="http://schemas.openxmlformats.org/officeDocument/2006/customXml" ds:itemID="{FF5F152D-7368-413E-8B0E-FE2A7A0EDFB0}"/>
</file>

<file path=customXml/itemProps4.xml><?xml version="1.0" encoding="utf-8"?>
<ds:datastoreItem xmlns:ds="http://schemas.openxmlformats.org/officeDocument/2006/customXml" ds:itemID="{7895AF98-217D-4732-A413-ED290302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DA744-CDF1-4CC1-99E8-6DDB0D206418}"/>
</file>

<file path=customXml/itemProps6.xml><?xml version="1.0" encoding="utf-8"?>
<ds:datastoreItem xmlns:ds="http://schemas.openxmlformats.org/officeDocument/2006/customXml" ds:itemID="{1AC80CF5-D201-4258-8DAF-4874C889BC2B}"/>
</file>

<file path=docProps/app.xml><?xml version="1.0" encoding="utf-8"?>
<Properties xmlns="http://schemas.openxmlformats.org/officeDocument/2006/extended-properties" xmlns:vt="http://schemas.openxmlformats.org/officeDocument/2006/docPropsVTypes">
  <Template>Normal.dotm</Template>
  <TotalTime>0</TotalTime>
  <Pages>15</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Work programme of the ENVE commission for 2018 </vt:lpstr>
    </vt:vector>
  </TitlesOfParts>
  <Company>CESE-CdR</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 of the ENVE commission for 2018</dc:title>
  <dc:subject>Consultative work, various</dc:subject>
  <dc:creator>Emmanouil Vergis</dc:creator>
  <cp:keywords>COR-2017-04290-00-01-TCD-TRA-EN</cp:keywords>
  <dc:description>Rapporteur: -  Original language: - EN Date of document: - 13/11/2017 Date of meeting: - 22/11/2017 External documents: -  Administrator responsible: - M. Zvirgzdgrauds Jens</dc:description>
  <cp:lastModifiedBy>Maria Carmen Macia Lopez</cp:lastModifiedBy>
  <cp:revision>2</cp:revision>
  <cp:lastPrinted>2017-10-27T08:26:00Z</cp:lastPrinted>
  <dcterms:created xsi:type="dcterms:W3CDTF">2017-11-20T13:39:00Z</dcterms:created>
  <dcterms:modified xsi:type="dcterms:W3CDTF">2017-11-20T13:39:00Z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13/11/2017, 31/10/2017</vt:lpwstr>
  </property>
  <property fmtid="{D5CDD505-2E9C-101B-9397-08002B2CF9AE}" pid="4" name="Pref_Time">
    <vt:lpwstr>15:32:01, 10:49:26</vt:lpwstr>
  </property>
  <property fmtid="{D5CDD505-2E9C-101B-9397-08002B2CF9AE}" pid="5" name="Pref_User">
    <vt:lpwstr>enied, amett</vt:lpwstr>
  </property>
  <property fmtid="{D5CDD505-2E9C-101B-9397-08002B2CF9AE}" pid="6" name="Pref_FileName">
    <vt:lpwstr>COR-2017-04290-00-01-TCD-ORI.docx, COR-2017-04290-00-00-TCD-ORI.docx</vt:lpwstr>
  </property>
  <property fmtid="{D5CDD505-2E9C-101B-9397-08002B2CF9AE}" pid="7" name="ContentTypeId">
    <vt:lpwstr>0x01010064360DDFD731024BAA75100660303E4E</vt:lpwstr>
  </property>
  <property fmtid="{D5CDD505-2E9C-101B-9397-08002B2CF9AE}" pid="8" name="_dlc_DocIdItemGuid">
    <vt:lpwstr>a6d8e45e-2ae7-4a72-8915-577caca0146b</vt:lpwstr>
  </property>
  <property fmtid="{D5CDD505-2E9C-101B-9397-08002B2CF9AE}" pid="9" name="DocumentType_0">
    <vt:lpwstr>TCD|cd9d6eb6-3f4f-424a-b2d1-57c9d450eaaf</vt:lpwstr>
  </property>
  <property fmtid="{D5CDD505-2E9C-101B-9397-08002B2CF9AE}" pid="10" name="AvailableTranslations">
    <vt:lpwstr>15;#SV|c2ed69e7-a339-43d7-8f22-d93680a92aa0;#12;#EN|f2175f21-25d7-44a3-96da-d6a61b075e1b;#26;#CS|72f9705b-0217-4fd3-bea2-cbc7ed80e26e;#30;#DA|5d49c027-8956-412b-aa16-e85a0f96ad0e;#24;#EL|6d4f4d51-af9b-4650-94b4-4276bee85c91;#39;#BG|1a1b3951-7821-4e6a-85f5</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4290</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14;#TCD|cd9d6eb6-3f4f-424a-b2d1-57c9d450eaaf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ENVE</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ENVE-VI|0ed19f56-132a-4aca-896d-77722a716b5a</vt:lpwstr>
  </property>
  <property fmtid="{D5CDD505-2E9C-101B-9397-08002B2CF9AE}" pid="25" name="OriginalLanguage">
    <vt:lpwstr>12;#EN|f2175f21-25d7-44a3-96da-d6a61b075e1b</vt:lpwstr>
  </property>
  <property fmtid="{D5CDD505-2E9C-101B-9397-08002B2CF9AE}" pid="26" name="MeetingName">
    <vt:lpwstr>56;#ENVE-VI|0ed19f56-132a-4aca-896d-77722a716b5a</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2017-11-22T12:00:00Z</vt:filetime>
  </property>
  <property fmtid="{D5CDD505-2E9C-101B-9397-08002B2CF9AE}" pid="30" name="TaxCatchAll">
    <vt:lpwstr>10;#Unrestricted|826e22d7-d029-4ec0-a450-0c28ff673572;#6;#Final|ea5e6674-7b27-4bac-b091-73adbb394efe;#12;#EN|f2175f21-25d7-44a3-96da-d6a61b075e1b;#56;#ENVE-VI|0ed19f56-132a-4aca-896d-77722a716b5a;#14;#TCD|cd9d6eb6-3f4f-424a-b2d1-57c9d450eaaf;#2;#TRA|150d2</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12398</vt:i4>
  </property>
  <property fmtid="{D5CDD505-2E9C-101B-9397-08002B2CF9AE}" pid="35" name="DocumentYear">
    <vt:i4>2017</vt:i4>
  </property>
  <property fmtid="{D5CDD505-2E9C-101B-9397-08002B2CF9AE}" pid="36" name="DocumentLanguage">
    <vt:lpwstr>12;#EN|f2175f21-25d7-44a3-96da-d6a61b075e1b</vt:lpwstr>
  </property>
  <property fmtid="{D5CDD505-2E9C-101B-9397-08002B2CF9AE}" pid="37" name="CorWebDocumentType">
    <vt:lpwstr/>
  </property>
  <property fmtid="{D5CDD505-2E9C-101B-9397-08002B2CF9AE}" pid="38" name="CorWebTheme">
    <vt:lpwstr/>
  </property>
  <property fmtid="{D5CDD505-2E9C-101B-9397-08002B2CF9AE}" pid="39" name="CorWebLanguage">
    <vt:lpwstr>1;#English|d891bae6-a181-4e69-b044-89dc4f0c00db</vt:lpwstr>
  </property>
  <property fmtid="{D5CDD505-2E9C-101B-9397-08002B2CF9AE}" pid="40" name="CorWebKeywords">
    <vt:lpwstr>163;#ENVE (Commission for Environment, Climate change and Energy)|44fbb46a-e684-49d1-af44-6bd38d71041a</vt:lpwstr>
  </property>
  <property fmtid="{D5CDD505-2E9C-101B-9397-08002B2CF9AE}" pid="41" name="Order">
    <vt:r8>247800</vt:r8>
  </property>
  <property fmtid="{D5CDD505-2E9C-101B-9397-08002B2CF9AE}" pid="42" name="CorWebDocumentSetLabel">
    <vt:lpwstr/>
  </property>
  <property fmtid="{D5CDD505-2E9C-101B-9397-08002B2CF9AE}" pid="43" name="xd_ProgID">
    <vt:lpwstr/>
  </property>
  <property fmtid="{D5CDD505-2E9C-101B-9397-08002B2CF9AE}" pid="45" name="DocumentSetDescription">
    <vt:lpwstr/>
  </property>
  <property fmtid="{D5CDD505-2E9C-101B-9397-08002B2CF9AE}" pid="46" name="_SourceUrl">
    <vt:lpwstr/>
  </property>
  <property fmtid="{D5CDD505-2E9C-101B-9397-08002B2CF9AE}" pid="47" name="_SharedFileIndex">
    <vt:lpwstr/>
  </property>
  <property fmtid="{D5CDD505-2E9C-101B-9397-08002B2CF9AE}" pid="48" name="CorWebIncaFolderReference">
    <vt:lpwstr/>
  </property>
  <property fmtid="{D5CDD505-2E9C-101B-9397-08002B2CF9AE}" pid="49" name="TemplateUrl">
    <vt:lpwstr/>
  </property>
  <property fmtid="{D5CDD505-2E9C-101B-9397-08002B2CF9AE}" pid="51" name="xd_Signature">
    <vt:bool>false</vt:bool>
  </property>
</Properties>
</file>