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44"/>
        <w:gridCol w:w="4645"/>
      </w:tblGrid>
      <w:tr w:rsidR="00E61FA5" w:rsidRPr="00236079" w:rsidTr="00152262">
        <w:tc>
          <w:tcPr>
            <w:tcW w:w="4644" w:type="dxa"/>
          </w:tcPr>
          <w:p w:rsidR="00E61FA5" w:rsidRPr="00236079" w:rsidRDefault="00E61FA5" w:rsidP="00292877">
            <w:r w:rsidRPr="00236079">
              <w:rPr>
                <w:lang w:eastAsia="pl-PL"/>
              </w:rPr>
              <w:drawing>
                <wp:inline distT="0" distB="0" distL="0" distR="0" wp14:anchorId="3926FBFC" wp14:editId="279DB1F0">
                  <wp:extent cx="1800000" cy="1559336"/>
                  <wp:effectExtent l="0" t="0" r="0" b="3175"/>
                  <wp:docPr id="37" name="Picture 37" descr="C:\Users\mreg\Music\New LOGO\Logo\logo_CoR-vertical-positive-en-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r w:rsidR="00017A19" w:rsidRPr="00236079">
              <w:rPr>
                <w:b/>
                <w:bCs/>
                <w:sz w:val="32"/>
                <w:lang w:eastAsia="pl-PL"/>
              </w:rPr>
              <w:drawing>
                <wp:anchor distT="0" distB="0" distL="114300" distR="114300" simplePos="0" relativeHeight="251659264" behindDoc="0" locked="0" layoutInCell="0" allowOverlap="0" wp14:anchorId="67C01149" wp14:editId="4E641A33">
                  <wp:simplePos x="0" y="0"/>
                  <wp:positionH relativeFrom="margin">
                    <wp:posOffset>0</wp:posOffset>
                  </wp:positionH>
                  <wp:positionV relativeFrom="margin">
                    <wp:posOffset>9341485</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A19" w:rsidRPr="00236079">
              <w:rPr>
                <w:sz w:val="20"/>
                <w:lang w:eastAsia="pl-PL"/>
              </w:rPr>
              <mc:AlternateContent>
                <mc:Choice Requires="wps">
                  <w:drawing>
                    <wp:anchor distT="0" distB="0" distL="114300" distR="114300" simplePos="0" relativeHeight="251661312" behindDoc="1" locked="0" layoutInCell="0" allowOverlap="1" wp14:anchorId="714DF9F4" wp14:editId="577B0744">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A19" w:rsidRPr="008442E8" w:rsidRDefault="00017A19">
                                  <w:pPr>
                                    <w:jc w:val="center"/>
                                    <w:rPr>
                                      <w:rFonts w:ascii="Arial" w:hAnsi="Arial" w:cs="Arial"/>
                                      <w:b/>
                                      <w:bCs/>
                                      <w:sz w:val="48"/>
                                    </w:rPr>
                                  </w:pPr>
                                  <w:r w:rsidRPr="008442E8">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8442E8" w:rsidR="00017A19" w:rsidRDefault="00017A19">
                            <w:pPr>
                              <w:jc w:val="center"/>
                              <w:rPr>
                                <w:rFonts w:ascii="Arial" w:hAnsi="Arial" w:cs="Arial"/>
                                <w:b/>
                                <w:bCs/>
                                <w:sz w:val="48"/>
                              </w:rPr>
                            </w:pPr>
                            <w:r w:rsidRPr="008442E8">
                              <w:rPr>
                                <w:rFonts w:ascii="Arial" w:hAnsi="Arial" w:cs="Arial"/>
                                <w:b/>
                                <w:bCs/>
                                <w:sz w:val="48"/>
                              </w:rPr>
                              <w:t>EN</w:t>
                            </w:r>
                          </w:p>
                        </w:txbxContent>
                      </v:textbox>
                      <w10:wrap anchorx="page" anchory="page"/>
                    </v:shape>
                  </w:pict>
                </mc:Fallback>
              </mc:AlternateContent>
            </w:r>
          </w:p>
        </w:tc>
        <w:tc>
          <w:tcPr>
            <w:tcW w:w="4645" w:type="dxa"/>
          </w:tcPr>
          <w:p w:rsidR="00E61FA5" w:rsidRPr="00236079" w:rsidRDefault="00E61FA5">
            <w:pPr>
              <w:jc w:val="center"/>
            </w:pPr>
          </w:p>
        </w:tc>
      </w:tr>
      <w:tr w:rsidR="00A012A8" w:rsidRPr="00236079" w:rsidTr="00152262">
        <w:tblPrEx>
          <w:tblLook w:val="0000" w:firstRow="0" w:lastRow="0" w:firstColumn="0" w:lastColumn="0" w:noHBand="0" w:noVBand="0"/>
        </w:tblPrEx>
        <w:trPr>
          <w:cantSplit/>
        </w:trPr>
        <w:tc>
          <w:tcPr>
            <w:tcW w:w="9289" w:type="dxa"/>
            <w:gridSpan w:val="2"/>
          </w:tcPr>
          <w:p w:rsidR="00A012A8" w:rsidRPr="00236079" w:rsidRDefault="0010526E" w:rsidP="00292877">
            <w:pPr>
              <w:jc w:val="right"/>
              <w:rPr>
                <w:b/>
                <w:bCs/>
                <w:sz w:val="28"/>
              </w:rPr>
            </w:pPr>
            <w:r w:rsidRPr="00236079">
              <w:rPr>
                <w:b/>
                <w:sz w:val="28"/>
              </w:rPr>
              <w:t>ENVE-VI/0</w:t>
            </w:r>
            <w:r w:rsidR="003B42A0" w:rsidRPr="00236079">
              <w:rPr>
                <w:b/>
                <w:sz w:val="28"/>
              </w:rPr>
              <w:t>1</w:t>
            </w:r>
            <w:r w:rsidR="00D13553" w:rsidRPr="00236079">
              <w:rPr>
                <w:b/>
                <w:sz w:val="28"/>
              </w:rPr>
              <w:t>5</w:t>
            </w:r>
          </w:p>
        </w:tc>
      </w:tr>
      <w:tr w:rsidR="00A012A8" w:rsidRPr="00236079" w:rsidTr="00152262">
        <w:tblPrEx>
          <w:tblLook w:val="0000" w:firstRow="0" w:lastRow="0" w:firstColumn="0" w:lastColumn="0" w:noHBand="0" w:noVBand="0"/>
        </w:tblPrEx>
        <w:tc>
          <w:tcPr>
            <w:tcW w:w="9289" w:type="dxa"/>
            <w:gridSpan w:val="2"/>
          </w:tcPr>
          <w:p w:rsidR="00A012A8" w:rsidRPr="00236079" w:rsidRDefault="00D7100A">
            <w:pPr>
              <w:jc w:val="center"/>
              <w:rPr>
                <w:b/>
                <w:sz w:val="28"/>
                <w:szCs w:val="28"/>
              </w:rPr>
            </w:pPr>
            <w:r w:rsidRPr="00236079">
              <w:rPr>
                <w:b/>
                <w:sz w:val="28"/>
                <w:szCs w:val="28"/>
              </w:rPr>
              <w:t>121</w:t>
            </w:r>
            <w:r w:rsidR="004E70E5" w:rsidRPr="00236079">
              <w:rPr>
                <w:b/>
                <w:sz w:val="28"/>
                <w:szCs w:val="28"/>
              </w:rPr>
              <w:t>st</w:t>
            </w:r>
            <w:r w:rsidRPr="00236079">
              <w:rPr>
                <w:b/>
                <w:sz w:val="28"/>
                <w:szCs w:val="28"/>
              </w:rPr>
              <w:t xml:space="preserve"> plenary session, 8-9 February 2017</w:t>
            </w:r>
          </w:p>
        </w:tc>
      </w:tr>
    </w:tbl>
    <w:p w:rsidR="00A012A8" w:rsidRPr="00236079" w:rsidRDefault="00A012A8" w:rsidP="00292877"/>
    <w:p w:rsidR="00A012A8" w:rsidRPr="00236079" w:rsidRDefault="00BB334F">
      <w:pPr>
        <w:jc w:val="center"/>
        <w:rPr>
          <w:b/>
          <w:sz w:val="28"/>
          <w:szCs w:val="28"/>
        </w:rPr>
      </w:pPr>
      <w:r w:rsidRPr="00236079">
        <w:rPr>
          <w:b/>
          <w:sz w:val="28"/>
          <w:szCs w:val="28"/>
        </w:rPr>
        <w:t>OPINION</w:t>
      </w:r>
      <w:r w:rsidR="008F5D64" w:rsidRPr="00236079">
        <w:rPr>
          <w:b/>
          <w:sz w:val="28"/>
          <w:szCs w:val="28"/>
        </w:rPr>
        <w:t xml:space="preserve"> </w:t>
      </w:r>
      <w:r w:rsidR="008F5D64" w:rsidRPr="00236079">
        <w:rPr>
          <w:b/>
          <w:sz w:val="28"/>
          <w:szCs w:val="28"/>
        </w:rPr>
        <w:br/>
      </w:r>
      <w:r w:rsidR="008F5D64" w:rsidRPr="00236079">
        <w:rPr>
          <w:b/>
          <w:sz w:val="28"/>
          <w:szCs w:val="28"/>
        </w:rPr>
        <w:br/>
      </w:r>
      <w:r w:rsidR="00524860" w:rsidRPr="00236079">
        <w:rPr>
          <w:b/>
          <w:sz w:val="28"/>
          <w:szCs w:val="28"/>
        </w:rPr>
        <w:t xml:space="preserve">Towards a new EU climate change adaptation strategy </w:t>
      </w:r>
      <w:r w:rsidR="001C53C7" w:rsidRPr="00236079">
        <w:rPr>
          <w:b/>
          <w:sz w:val="28"/>
          <w:szCs w:val="28"/>
        </w:rPr>
        <w:br/>
      </w:r>
      <w:r w:rsidR="00524860" w:rsidRPr="00236079">
        <w:rPr>
          <w:b/>
          <w:sz w:val="28"/>
          <w:szCs w:val="28"/>
        </w:rPr>
        <w:t>– taking an integrated approach</w:t>
      </w:r>
    </w:p>
    <w:p w:rsidR="00A012A8" w:rsidRPr="00236079" w:rsidRDefault="00A012A8" w:rsidP="0050151E"/>
    <w:p w:rsidR="00264BF8" w:rsidRPr="00236079" w:rsidRDefault="00264BF8" w:rsidP="0050151E"/>
    <w:tbl>
      <w:tblPr>
        <w:tblStyle w:val="TableGrid"/>
        <w:tblW w:w="0" w:type="auto"/>
        <w:tblInd w:w="0" w:type="dxa"/>
        <w:tblLook w:val="04A0" w:firstRow="1" w:lastRow="0" w:firstColumn="1" w:lastColumn="0" w:noHBand="0" w:noVBand="1"/>
      </w:tblPr>
      <w:tblGrid>
        <w:gridCol w:w="9213"/>
      </w:tblGrid>
      <w:tr w:rsidR="002619F0" w:rsidRPr="00236079" w:rsidTr="0060492A">
        <w:trPr>
          <w:trHeight w:val="7963"/>
        </w:trPr>
        <w:tc>
          <w:tcPr>
            <w:tcW w:w="9213" w:type="dxa"/>
          </w:tcPr>
          <w:p w:rsidR="002619F0" w:rsidRPr="00236079" w:rsidRDefault="002619F0" w:rsidP="0060492A">
            <w:pPr>
              <w:rPr>
                <w:lang w:val="en-GB"/>
              </w:rPr>
            </w:pPr>
            <w:r w:rsidRPr="00236079">
              <w:rPr>
                <w:lang w:val="en-GB"/>
              </w:rPr>
              <w:t>THE EUROPEAN COMMITTEE OF THE REGIONS</w:t>
            </w:r>
          </w:p>
          <w:p w:rsidR="00644CDD" w:rsidRPr="00236079" w:rsidRDefault="00644CDD" w:rsidP="0060492A">
            <w:pPr>
              <w:rPr>
                <w:lang w:val="en-GB"/>
              </w:rPr>
            </w:pPr>
          </w:p>
          <w:p w:rsidR="00780624" w:rsidRPr="00236079" w:rsidRDefault="00780624" w:rsidP="00C4447F">
            <w:pPr>
              <w:pStyle w:val="ListParagraph"/>
              <w:numPr>
                <w:ilvl w:val="0"/>
                <w:numId w:val="13"/>
              </w:numPr>
              <w:spacing w:line="276" w:lineRule="auto"/>
              <w:ind w:left="369" w:hanging="369"/>
              <w:rPr>
                <w:lang w:val="en-GB"/>
              </w:rPr>
            </w:pPr>
            <w:r w:rsidRPr="00236079">
              <w:rPr>
                <w:lang w:val="en-GB"/>
              </w:rPr>
              <w:t>stresses that a well-functioning multi-level governance framework is of crucial importance, and therefore calls on the European Commission to encourage stronger collaboration between the different levels of government - especially in the preparation and implementation of the national, regional and local adaptation strategies and plans;</w:t>
            </w:r>
          </w:p>
          <w:p w:rsidR="00780624" w:rsidRPr="00236079" w:rsidRDefault="00780624" w:rsidP="00C4447F">
            <w:pPr>
              <w:pStyle w:val="ListParagraph"/>
              <w:numPr>
                <w:ilvl w:val="0"/>
                <w:numId w:val="13"/>
              </w:numPr>
              <w:spacing w:line="276" w:lineRule="auto"/>
              <w:ind w:left="369" w:hanging="369"/>
              <w:rPr>
                <w:lang w:val="en-GB"/>
              </w:rPr>
            </w:pPr>
            <w:r w:rsidRPr="00236079">
              <w:rPr>
                <w:lang w:val="en-GB"/>
              </w:rPr>
              <w:t>supports EU initiatives such as the Covenant of Mayors for Climate &amp; Energy and the new EU Urban Agenda Partnerships that foster the emergence of coordinated multi-level/multi-stakeholder governance schemes and cooperation platforms;</w:t>
            </w:r>
          </w:p>
          <w:p w:rsidR="00780624" w:rsidRPr="00236079" w:rsidRDefault="00780624" w:rsidP="00C4447F">
            <w:pPr>
              <w:pStyle w:val="ListParagraph"/>
              <w:numPr>
                <w:ilvl w:val="0"/>
                <w:numId w:val="13"/>
              </w:numPr>
              <w:spacing w:line="276" w:lineRule="auto"/>
              <w:ind w:left="369" w:hanging="369"/>
              <w:rPr>
                <w:lang w:val="en-GB"/>
              </w:rPr>
            </w:pPr>
            <w:r w:rsidRPr="00236079">
              <w:rPr>
                <w:lang w:val="en-GB"/>
              </w:rPr>
              <w:t>points out that the absence of a legislative prescriptive framework is perceived by local and regional authorities as an obstacle to adaptation action in certain Member States;</w:t>
            </w:r>
          </w:p>
          <w:p w:rsidR="00780624" w:rsidRPr="00236079" w:rsidRDefault="00780624" w:rsidP="00C4447F">
            <w:pPr>
              <w:pStyle w:val="ListParagraph"/>
              <w:numPr>
                <w:ilvl w:val="0"/>
                <w:numId w:val="13"/>
              </w:numPr>
              <w:spacing w:line="276" w:lineRule="auto"/>
              <w:ind w:left="369" w:hanging="369"/>
              <w:rPr>
                <w:lang w:val="en-GB"/>
              </w:rPr>
            </w:pPr>
            <w:r w:rsidRPr="00236079">
              <w:rPr>
                <w:lang w:val="en-GB"/>
              </w:rPr>
              <w:t>urges the European Commission to consolidate efforts to create an enabling framework for capacity building in cities and regions;</w:t>
            </w:r>
          </w:p>
          <w:p w:rsidR="00780624" w:rsidRPr="00236079" w:rsidRDefault="00780624" w:rsidP="00C4447F">
            <w:pPr>
              <w:pStyle w:val="ListParagraph"/>
              <w:numPr>
                <w:ilvl w:val="0"/>
                <w:numId w:val="13"/>
              </w:numPr>
              <w:spacing w:line="276" w:lineRule="auto"/>
              <w:ind w:left="369" w:hanging="369"/>
              <w:rPr>
                <w:lang w:val="en-GB"/>
              </w:rPr>
            </w:pPr>
            <w:r w:rsidRPr="00236079">
              <w:rPr>
                <w:lang w:val="en-GB"/>
              </w:rPr>
              <w:t xml:space="preserve">stresses that accessing EU financing instruments supporting climate action is still the biggest challenge faced by cities and regions and therefore </w:t>
            </w:r>
            <w:r w:rsidR="00264BF8" w:rsidRPr="00236079">
              <w:rPr>
                <w:lang w:val="en-GB"/>
              </w:rPr>
              <w:t xml:space="preserve">calls </w:t>
            </w:r>
            <w:r w:rsidRPr="00236079">
              <w:rPr>
                <w:lang w:val="en-GB"/>
              </w:rPr>
              <w:t>on the Commission to provide European local and regional authorities with 1) easily-accessible and understandable information and 2) further guidance and support on how to access them, and also possibly combine them;</w:t>
            </w:r>
          </w:p>
          <w:p w:rsidR="00780624" w:rsidRPr="00236079" w:rsidRDefault="00780624" w:rsidP="00C4447F">
            <w:pPr>
              <w:pStyle w:val="ListParagraph"/>
              <w:numPr>
                <w:ilvl w:val="0"/>
                <w:numId w:val="13"/>
              </w:numPr>
              <w:spacing w:line="276" w:lineRule="auto"/>
              <w:ind w:left="369" w:hanging="369"/>
              <w:rPr>
                <w:lang w:val="en-GB"/>
              </w:rPr>
            </w:pPr>
            <w:r w:rsidRPr="00236079">
              <w:rPr>
                <w:lang w:val="en-GB"/>
              </w:rPr>
              <w:t>invites the Commission to explore further the idea  of a fast-track access to financial support for local and regional authorities committed to adaptation action;</w:t>
            </w:r>
          </w:p>
          <w:p w:rsidR="00780624" w:rsidRPr="00236079" w:rsidRDefault="00780624" w:rsidP="00C4447F">
            <w:pPr>
              <w:pStyle w:val="ListParagraph"/>
              <w:numPr>
                <w:ilvl w:val="0"/>
                <w:numId w:val="13"/>
              </w:numPr>
              <w:spacing w:line="276" w:lineRule="auto"/>
              <w:ind w:left="369" w:hanging="369"/>
              <w:rPr>
                <w:lang w:val="en-GB"/>
              </w:rPr>
            </w:pPr>
            <w:r w:rsidRPr="00236079">
              <w:rPr>
                <w:lang w:val="en-GB"/>
              </w:rPr>
              <w:t>considers that the Commission shall continue exploring innovative ways to channel investments for adaptation actions to local and regional authorities and calls on the Commission to provide them with appropriate expert advice, guidance and support in preparing viable investments and securing financing;</w:t>
            </w:r>
          </w:p>
          <w:p w:rsidR="00747862" w:rsidRPr="00236079" w:rsidRDefault="00780624" w:rsidP="00C4447F">
            <w:pPr>
              <w:pStyle w:val="ListParagraph"/>
              <w:numPr>
                <w:ilvl w:val="0"/>
                <w:numId w:val="13"/>
              </w:numPr>
              <w:spacing w:line="276" w:lineRule="auto"/>
              <w:ind w:left="369" w:hanging="369"/>
              <w:rPr>
                <w:lang w:val="en-GB"/>
              </w:rPr>
            </w:pPr>
            <w:r w:rsidRPr="00236079">
              <w:rPr>
                <w:lang w:val="en-GB"/>
              </w:rPr>
              <w:t>invites the Commission to embed its climate (adaptation) action further in the new international climate agreements, to reinforce its exemplary role, and help to build synergies between these agreements</w:t>
            </w:r>
            <w:r w:rsidR="00747862" w:rsidRPr="00236079">
              <w:rPr>
                <w:lang w:val="en-GB"/>
              </w:rPr>
              <w:t>.</w:t>
            </w:r>
          </w:p>
        </w:tc>
      </w:tr>
    </w:tbl>
    <w:p w:rsidR="002619F0" w:rsidRPr="00236079" w:rsidRDefault="002619F0" w:rsidP="002619F0"/>
    <w:tbl>
      <w:tblPr>
        <w:tblW w:w="0" w:type="auto"/>
        <w:tblLayout w:type="fixed"/>
        <w:tblLook w:val="01E0" w:firstRow="1" w:lastRow="1" w:firstColumn="1" w:lastColumn="1" w:noHBand="0" w:noVBand="0"/>
      </w:tblPr>
      <w:tblGrid>
        <w:gridCol w:w="9289"/>
      </w:tblGrid>
      <w:tr w:rsidR="00007A5D" w:rsidRPr="00236079" w:rsidTr="00152262">
        <w:trPr>
          <w:trHeight w:val="12474"/>
        </w:trPr>
        <w:tc>
          <w:tcPr>
            <w:tcW w:w="9289" w:type="dxa"/>
            <w:vAlign w:val="bottom"/>
          </w:tcPr>
          <w:p w:rsidR="002619F0" w:rsidRPr="00236079" w:rsidRDefault="002619F0" w:rsidP="002619F0">
            <w:pPr>
              <w:rPr>
                <w:b/>
              </w:rPr>
            </w:pPr>
            <w:bookmarkStart w:id="0" w:name="_GoBack"/>
            <w:bookmarkEnd w:id="0"/>
            <w:r w:rsidRPr="00236079">
              <w:lastRenderedPageBreak/>
              <w:t>Rapporteur:</w:t>
            </w:r>
            <w:r w:rsidRPr="00236079">
              <w:rPr>
                <w:b/>
              </w:rPr>
              <w:t xml:space="preserve"> </w:t>
            </w:r>
          </w:p>
          <w:p w:rsidR="002619F0" w:rsidRPr="00236079" w:rsidRDefault="002619F0" w:rsidP="002619F0">
            <w:pPr>
              <w:rPr>
                <w:b/>
              </w:rPr>
            </w:pPr>
          </w:p>
          <w:p w:rsidR="002619F0" w:rsidRPr="00236079" w:rsidRDefault="002619F0" w:rsidP="002619F0">
            <w:r w:rsidRPr="00236079">
              <w:rPr>
                <w:b/>
              </w:rPr>
              <w:t xml:space="preserve">Sirpa Hertell (FI/EPP) </w:t>
            </w:r>
            <w:r w:rsidRPr="00236079">
              <w:t>City councillor of Espoo</w:t>
            </w:r>
          </w:p>
          <w:p w:rsidR="002619F0" w:rsidRPr="00236079" w:rsidRDefault="002619F0" w:rsidP="002619F0"/>
          <w:p w:rsidR="00007A5D" w:rsidRPr="00236079" w:rsidRDefault="00007A5D" w:rsidP="002619F0">
            <w:pPr>
              <w:rPr>
                <w:u w:val="single"/>
              </w:rPr>
            </w:pPr>
            <w:r w:rsidRPr="00236079">
              <w:rPr>
                <w:u w:val="single"/>
              </w:rPr>
              <w:t>Reference documents</w:t>
            </w:r>
          </w:p>
          <w:p w:rsidR="00007A5D" w:rsidRPr="00236079" w:rsidRDefault="00007A5D"/>
          <w:p w:rsidR="00C240CA" w:rsidRPr="00236079" w:rsidRDefault="00D13553" w:rsidP="008442E8">
            <w:r w:rsidRPr="00236079">
              <w:t xml:space="preserve">Own initiative opinion </w:t>
            </w:r>
          </w:p>
        </w:tc>
      </w:tr>
    </w:tbl>
    <w:p w:rsidR="002619F0" w:rsidRPr="00236079" w:rsidRDefault="002619F0" w:rsidP="00C4447F"/>
    <w:p w:rsidR="00007A5D" w:rsidRPr="00236079" w:rsidRDefault="00007A5D" w:rsidP="00C4447F">
      <w:pPr>
        <w:spacing w:line="281" w:lineRule="auto"/>
        <w:jc w:val="center"/>
      </w:pPr>
      <w:r w:rsidRPr="00236079">
        <w:br w:type="page"/>
      </w:r>
      <w:r w:rsidR="00940C03" w:rsidRPr="00236079">
        <w:rPr>
          <w:b/>
        </w:rPr>
        <w:lastRenderedPageBreak/>
        <w:t>O</w:t>
      </w:r>
      <w:r w:rsidR="00BB334F" w:rsidRPr="00236079">
        <w:rPr>
          <w:b/>
        </w:rPr>
        <w:t>pinion</w:t>
      </w:r>
      <w:r w:rsidRPr="00236079">
        <w:rPr>
          <w:b/>
        </w:rPr>
        <w:t xml:space="preserve"> of the </w:t>
      </w:r>
      <w:r w:rsidR="00064CE7" w:rsidRPr="00236079">
        <w:rPr>
          <w:b/>
        </w:rPr>
        <w:t>European Committee of the Regions</w:t>
      </w:r>
      <w:r w:rsidR="0037245D" w:rsidRPr="00236079">
        <w:rPr>
          <w:b/>
        </w:rPr>
        <w:t xml:space="preserve"> – </w:t>
      </w:r>
      <w:r w:rsidR="0037245D" w:rsidRPr="00236079">
        <w:rPr>
          <w:b/>
        </w:rPr>
        <w:br/>
      </w:r>
      <w:r w:rsidR="00524860" w:rsidRPr="00236079">
        <w:rPr>
          <w:b/>
        </w:rPr>
        <w:t>Towards a new EU cl</w:t>
      </w:r>
      <w:r w:rsidR="00987FE2" w:rsidRPr="00236079">
        <w:rPr>
          <w:b/>
        </w:rPr>
        <w:t>imate change adaptation strategy</w:t>
      </w:r>
      <w:r w:rsidR="00524860" w:rsidRPr="00236079">
        <w:rPr>
          <w:b/>
        </w:rPr>
        <w:t xml:space="preserve"> – taking an integrated approach</w:t>
      </w:r>
    </w:p>
    <w:p w:rsidR="00F32113" w:rsidRPr="00236079" w:rsidRDefault="00F32113" w:rsidP="00C4447F">
      <w:pPr>
        <w:spacing w:line="281" w:lineRule="auto"/>
      </w:pPr>
    </w:p>
    <w:p w:rsidR="003B42A0" w:rsidRPr="00236079" w:rsidRDefault="00BF4173" w:rsidP="00C4447F">
      <w:pPr>
        <w:numPr>
          <w:ilvl w:val="0"/>
          <w:numId w:val="2"/>
        </w:numPr>
        <w:tabs>
          <w:tab w:val="clear" w:pos="0"/>
        </w:tabs>
        <w:spacing w:line="281" w:lineRule="auto"/>
        <w:ind w:left="567" w:hanging="567"/>
        <w:rPr>
          <w:b/>
        </w:rPr>
      </w:pPr>
      <w:r w:rsidRPr="00236079">
        <w:rPr>
          <w:b/>
          <w:bCs/>
        </w:rPr>
        <w:t xml:space="preserve">POLICY RECOMMENDATIONS </w:t>
      </w:r>
    </w:p>
    <w:p w:rsidR="00CA661D" w:rsidRPr="00236079" w:rsidRDefault="00CA661D" w:rsidP="00C4447F">
      <w:pPr>
        <w:spacing w:line="281" w:lineRule="auto"/>
      </w:pPr>
    </w:p>
    <w:p w:rsidR="005B5D90" w:rsidRPr="00236079" w:rsidRDefault="005B5D90" w:rsidP="00C4447F">
      <w:pPr>
        <w:spacing w:line="281" w:lineRule="auto"/>
      </w:pPr>
      <w:r w:rsidRPr="00236079">
        <w:t>THE COMMITTEE OF THE REGIONS</w:t>
      </w:r>
      <w:r w:rsidR="005700B2" w:rsidRPr="00236079">
        <w:t xml:space="preserve"> </w:t>
      </w:r>
    </w:p>
    <w:p w:rsidR="00A00F14" w:rsidRPr="00236079" w:rsidRDefault="00A00F14" w:rsidP="00C4447F">
      <w:pPr>
        <w:spacing w:line="281" w:lineRule="auto"/>
      </w:pPr>
    </w:p>
    <w:p w:rsidR="00A00F14" w:rsidRPr="00236079" w:rsidRDefault="00A00F14" w:rsidP="00C4447F">
      <w:pPr>
        <w:pStyle w:val="Heading1"/>
        <w:spacing w:line="281" w:lineRule="auto"/>
        <w:rPr>
          <w:rFonts w:eastAsiaTheme="minorHAnsi"/>
        </w:rPr>
      </w:pPr>
      <w:r w:rsidRPr="00236079">
        <w:rPr>
          <w:rFonts w:eastAsiaTheme="minorHAnsi"/>
        </w:rPr>
        <w:t xml:space="preserve">underlines that many of its original recommendations on the EU adaptation strategy (CoR 3752/2013) remain valid and should be read in conjunction with the present opinion; in particular, draws attention to the suggestions to link the adaptation strategy more directly with the concept of climate resilience and develop further the concept/assessments of </w:t>
      </w:r>
      <w:r w:rsidR="004E70E5" w:rsidRPr="00236079">
        <w:rPr>
          <w:rFonts w:eastAsiaTheme="minorHAnsi"/>
        </w:rPr>
        <w:t>"</w:t>
      </w:r>
      <w:r w:rsidRPr="00236079">
        <w:rPr>
          <w:rFonts w:eastAsiaTheme="minorHAnsi"/>
        </w:rPr>
        <w:t>vulnerability</w:t>
      </w:r>
      <w:r w:rsidR="004E70E5" w:rsidRPr="00236079">
        <w:rPr>
          <w:rFonts w:eastAsiaTheme="minorHAnsi"/>
        </w:rPr>
        <w:t>"</w:t>
      </w:r>
      <w:r w:rsidRPr="00236079">
        <w:rPr>
          <w:rFonts w:eastAsiaTheme="minorHAnsi"/>
        </w:rPr>
        <w:t xml:space="preserve"> of different territories; to the proposal to put more emphasis on adaptation solutions based on green infrastructure as well as biodiversity and ecosystem considerations; and also to the warning that it may be necessary to also develop scenarios for adaptation to a temperature increase which is not limited to 2 degrees, if global efforts in the context of the Paris agreement are not successful;</w:t>
      </w:r>
    </w:p>
    <w:p w:rsidR="00A00F14" w:rsidRPr="00236079" w:rsidRDefault="00A00F14" w:rsidP="00C4447F">
      <w:pPr>
        <w:spacing w:line="281" w:lineRule="auto"/>
      </w:pPr>
    </w:p>
    <w:p w:rsidR="00EB62C4" w:rsidRPr="00236079" w:rsidRDefault="0041771F" w:rsidP="00C4447F">
      <w:pPr>
        <w:pStyle w:val="Heading1"/>
        <w:spacing w:line="281" w:lineRule="auto"/>
      </w:pPr>
      <w:r w:rsidRPr="00236079">
        <w:t>a</w:t>
      </w:r>
      <w:r w:rsidR="00AC7A8D" w:rsidRPr="00236079">
        <w:t>cknowledges that work is ongoing on all eight actions of the</w:t>
      </w:r>
      <w:r w:rsidR="00EB5B9A" w:rsidRPr="00236079">
        <w:t xml:space="preserve"> EU Strategy on Adaptation to Climate Change (SACC)</w:t>
      </w:r>
      <w:r w:rsidR="00AC7A8D" w:rsidRPr="00236079">
        <w:t xml:space="preserve"> and results are beginning to show (e.g.</w:t>
      </w:r>
      <w:r w:rsidR="007C1FEE" w:rsidRPr="00236079">
        <w:t xml:space="preserve"> adoption of National Adaptation Strategies in </w:t>
      </w:r>
      <w:r w:rsidR="00B66ED1" w:rsidRPr="00236079">
        <w:t>75% of the EU Member States</w:t>
      </w:r>
      <w:r w:rsidR="002E70BB" w:rsidRPr="00236079">
        <w:t xml:space="preserve">, </w:t>
      </w:r>
      <w:r w:rsidR="007C1FEE" w:rsidRPr="00236079">
        <w:t>launch of the Mayors Adapt initiative</w:t>
      </w:r>
      <w:r w:rsidR="001C53C7" w:rsidRPr="00236079">
        <w:t>,</w:t>
      </w:r>
      <w:r w:rsidR="003C321B" w:rsidRPr="00236079">
        <w:t xml:space="preserve"> </w:t>
      </w:r>
      <w:r w:rsidR="00CA7E8E" w:rsidRPr="00236079">
        <w:t>now integrated into the Covenant of Mayors</w:t>
      </w:r>
      <w:r w:rsidR="00AC7A8D" w:rsidRPr="00236079">
        <w:t>)</w:t>
      </w:r>
      <w:r w:rsidR="002E70BB" w:rsidRPr="00236079">
        <w:t xml:space="preserve"> </w:t>
      </w:r>
      <w:r w:rsidR="00AC7A8D" w:rsidRPr="00236079">
        <w:t xml:space="preserve">and therefore </w:t>
      </w:r>
      <w:r w:rsidR="00A00F14" w:rsidRPr="00236079">
        <w:rPr>
          <w:rFonts w:eastAsiaTheme="minorHAnsi"/>
          <w:bCs/>
          <w:iCs/>
        </w:rPr>
        <w:t>looks forward to</w:t>
      </w:r>
      <w:r w:rsidR="00A00F14" w:rsidRPr="00236079">
        <w:rPr>
          <w:rFonts w:eastAsiaTheme="minorHAnsi"/>
        </w:rPr>
        <w:t xml:space="preserve"> </w:t>
      </w:r>
      <w:r w:rsidR="002E70BB" w:rsidRPr="00236079">
        <w:t>the</w:t>
      </w:r>
      <w:r w:rsidR="00AC7A8D" w:rsidRPr="00236079">
        <w:t xml:space="preserve"> European Commission </w:t>
      </w:r>
      <w:r w:rsidR="00B66ED1" w:rsidRPr="00236079">
        <w:t xml:space="preserve">evaluation and </w:t>
      </w:r>
      <w:r w:rsidR="00EB5B9A" w:rsidRPr="00236079">
        <w:t>review</w:t>
      </w:r>
      <w:r w:rsidR="00CC7FD7" w:rsidRPr="00236079">
        <w:t xml:space="preserve"> of the SACC</w:t>
      </w:r>
      <w:r w:rsidR="00FC7672" w:rsidRPr="00236079">
        <w:t>.</w:t>
      </w:r>
      <w:r w:rsidR="00FC7672" w:rsidRPr="00236079">
        <w:rPr>
          <w:rFonts w:eastAsiaTheme="minorHAnsi"/>
          <w:bCs/>
          <w:iCs/>
        </w:rPr>
        <w:t xml:space="preserve"> </w:t>
      </w:r>
      <w:r w:rsidR="00A00F14" w:rsidRPr="00236079">
        <w:rPr>
          <w:rFonts w:eastAsiaTheme="minorHAnsi"/>
          <w:bCs/>
          <w:iCs/>
        </w:rPr>
        <w:t>Underlines that this is an ongoing process in which Member States should also up-date their own strategies continuously to keep up with the evolving knowledge base and the relevant legal frameworks and international agreements;</w:t>
      </w:r>
    </w:p>
    <w:p w:rsidR="007B5620" w:rsidRPr="00236079" w:rsidRDefault="007B5620" w:rsidP="00C4447F">
      <w:pPr>
        <w:spacing w:line="281" w:lineRule="auto"/>
      </w:pPr>
    </w:p>
    <w:p w:rsidR="00A74478" w:rsidRPr="00236079" w:rsidRDefault="00A74478" w:rsidP="00C4447F">
      <w:pPr>
        <w:pStyle w:val="ListParagraph"/>
        <w:keepNext/>
        <w:numPr>
          <w:ilvl w:val="0"/>
          <w:numId w:val="12"/>
        </w:numPr>
        <w:spacing w:line="281" w:lineRule="auto"/>
        <w:ind w:left="567" w:hanging="567"/>
      </w:pPr>
      <w:r w:rsidRPr="00236079">
        <w:rPr>
          <w:rFonts w:eastAsiaTheme="minorHAnsi"/>
          <w:b/>
          <w:bCs/>
          <w:iCs/>
        </w:rPr>
        <w:t>GOVERNING</w:t>
      </w:r>
    </w:p>
    <w:p w:rsidR="00A74478" w:rsidRPr="00236079" w:rsidRDefault="00A74478" w:rsidP="00C4447F">
      <w:pPr>
        <w:keepNext/>
        <w:spacing w:line="281" w:lineRule="auto"/>
      </w:pPr>
    </w:p>
    <w:p w:rsidR="005B5D90" w:rsidRPr="00236079" w:rsidRDefault="005B5D90" w:rsidP="00C4447F">
      <w:pPr>
        <w:keepNext/>
        <w:spacing w:line="281" w:lineRule="auto"/>
        <w:rPr>
          <w:i/>
        </w:rPr>
      </w:pPr>
      <w:r w:rsidRPr="00236079">
        <w:rPr>
          <w:i/>
        </w:rPr>
        <w:t>Reinforcing the multi-level governance framework</w:t>
      </w:r>
    </w:p>
    <w:p w:rsidR="005B5D90" w:rsidRPr="00236079" w:rsidRDefault="005B5D90" w:rsidP="00C4447F">
      <w:pPr>
        <w:keepNext/>
        <w:spacing w:line="281" w:lineRule="auto"/>
      </w:pPr>
    </w:p>
    <w:p w:rsidR="005B5D90" w:rsidRPr="00236079" w:rsidRDefault="0041771F" w:rsidP="00C4447F">
      <w:pPr>
        <w:pStyle w:val="Heading1"/>
        <w:spacing w:line="281" w:lineRule="auto"/>
      </w:pPr>
      <w:r w:rsidRPr="00236079">
        <w:t>a</w:t>
      </w:r>
      <w:r w:rsidR="005B5D90" w:rsidRPr="00236079">
        <w:t xml:space="preserve">cknowledges that, whilst the European Commission and </w:t>
      </w:r>
      <w:r w:rsidR="001C53C7" w:rsidRPr="00236079">
        <w:t xml:space="preserve">Member States </w:t>
      </w:r>
      <w:r w:rsidR="005B5D90" w:rsidRPr="00236079">
        <w:t>are key players in setting up the policy and regulatory frameworks, local and regional authorities stand at the frontline of reducing the vulnerability of their territor</w:t>
      </w:r>
      <w:r w:rsidR="00E83101" w:rsidRPr="00236079">
        <w:t>ies</w:t>
      </w:r>
      <w:r w:rsidR="005B5D90" w:rsidRPr="00236079">
        <w:t xml:space="preserve"> to the various impacts of climate change through concrete adaptation actions, and therefore stresses that a well-functioning multi-level governance framework is of crucial importance</w:t>
      </w:r>
      <w:r w:rsidRPr="00236079">
        <w:t>;</w:t>
      </w:r>
      <w:r w:rsidR="005B5D90" w:rsidRPr="00236079">
        <w:t xml:space="preserve"> </w:t>
      </w:r>
    </w:p>
    <w:p w:rsidR="005B5D90" w:rsidRPr="00236079" w:rsidRDefault="005B5D90" w:rsidP="00C4447F">
      <w:pPr>
        <w:spacing w:line="281" w:lineRule="auto"/>
      </w:pPr>
    </w:p>
    <w:p w:rsidR="005B5D90" w:rsidRPr="00236079" w:rsidRDefault="0041771F" w:rsidP="00C4447F">
      <w:pPr>
        <w:pStyle w:val="Heading1"/>
        <w:spacing w:line="281" w:lineRule="auto"/>
      </w:pPr>
      <w:r w:rsidRPr="00236079">
        <w:t>c</w:t>
      </w:r>
      <w:r w:rsidR="005B5D90" w:rsidRPr="00236079">
        <w:t>alls on the European Commission to encourage stronger collaboration between the different levels of govern</w:t>
      </w:r>
      <w:r w:rsidR="00E83101" w:rsidRPr="00236079">
        <w:t>ment</w:t>
      </w:r>
      <w:r w:rsidR="005B5D90" w:rsidRPr="00236079">
        <w:t xml:space="preserve"> (EU, </w:t>
      </w:r>
      <w:r w:rsidR="001C53C7" w:rsidRPr="00236079">
        <w:t>Member States</w:t>
      </w:r>
      <w:r w:rsidR="005B5D90" w:rsidRPr="00236079">
        <w:t>, regional and local authorities) in order to align priorities, minimise contradictory or parallel disconnected processes, maximise synergies between the strategies and plans developed at the EU and national levels and those developed at the regional and local levels – and thus ensure greater policy coherence but also coordinated and complementary action</w:t>
      </w:r>
      <w:r w:rsidRPr="00236079">
        <w:t>;</w:t>
      </w:r>
    </w:p>
    <w:p w:rsidR="00A00F14" w:rsidRPr="00236079" w:rsidRDefault="00A00F14" w:rsidP="00C4447F">
      <w:pPr>
        <w:spacing w:line="281" w:lineRule="auto"/>
      </w:pPr>
    </w:p>
    <w:p w:rsidR="00805275" w:rsidRPr="00236079" w:rsidRDefault="0041771F" w:rsidP="00C4447F">
      <w:pPr>
        <w:pStyle w:val="Heading1"/>
        <w:spacing w:line="281" w:lineRule="auto"/>
      </w:pPr>
      <w:r w:rsidRPr="00236079">
        <w:t>s</w:t>
      </w:r>
      <w:r w:rsidR="00805275" w:rsidRPr="00236079">
        <w:t xml:space="preserve">upports EU initiatives such as the </w:t>
      </w:r>
      <w:hyperlink r:id="rId15" w:history="1">
        <w:r w:rsidR="00805275" w:rsidRPr="00236079">
          <w:rPr>
            <w:rStyle w:val="Hyperlink"/>
          </w:rPr>
          <w:t>Covenant of Mayors for Climate &amp; Energy</w:t>
        </w:r>
      </w:hyperlink>
      <w:r w:rsidR="00805275" w:rsidRPr="00236079">
        <w:t xml:space="preserve"> and the </w:t>
      </w:r>
      <w:r w:rsidR="0059540B" w:rsidRPr="00236079">
        <w:t xml:space="preserve">new </w:t>
      </w:r>
      <w:r w:rsidR="00805275" w:rsidRPr="00236079">
        <w:t xml:space="preserve">EU </w:t>
      </w:r>
      <w:hyperlink r:id="rId16" w:history="1">
        <w:r w:rsidR="00805275" w:rsidRPr="00236079">
          <w:rPr>
            <w:rStyle w:val="Hyperlink"/>
          </w:rPr>
          <w:t>Urban Agenda Partnerships</w:t>
        </w:r>
      </w:hyperlink>
      <w:r w:rsidR="00805275" w:rsidRPr="00236079">
        <w:t xml:space="preserve"> that foster the emergence of </w:t>
      </w:r>
      <w:r w:rsidR="0059540B" w:rsidRPr="00236079">
        <w:rPr>
          <w:rFonts w:eastAsiaTheme="minorHAnsi"/>
        </w:rPr>
        <w:t>coordinated multi-level</w:t>
      </w:r>
      <w:r w:rsidR="0059540B" w:rsidRPr="00236079">
        <w:t xml:space="preserve"> </w:t>
      </w:r>
      <w:r w:rsidR="00805275" w:rsidRPr="00236079">
        <w:t xml:space="preserve">governance </w:t>
      </w:r>
      <w:r w:rsidR="00304A66" w:rsidRPr="00236079">
        <w:t xml:space="preserve">schemes </w:t>
      </w:r>
      <w:r w:rsidR="00805275" w:rsidRPr="00236079">
        <w:t xml:space="preserve">and cooperation </w:t>
      </w:r>
      <w:r w:rsidR="00304A66" w:rsidRPr="00236079">
        <w:t>platforms</w:t>
      </w:r>
      <w:r w:rsidR="00805275" w:rsidRPr="00236079">
        <w:t>. They should be considered to play a role in reflecting on cities</w:t>
      </w:r>
      <w:r w:rsidR="00EC5966" w:rsidRPr="00236079">
        <w:t>'</w:t>
      </w:r>
      <w:r w:rsidR="00805275" w:rsidRPr="00236079">
        <w:t xml:space="preserve"> and regions</w:t>
      </w:r>
      <w:r w:rsidR="00EC5966" w:rsidRPr="00236079">
        <w:t>'</w:t>
      </w:r>
      <w:r w:rsidR="00805275" w:rsidRPr="00236079">
        <w:t xml:space="preserve"> needs and improve co</w:t>
      </w:r>
      <w:r w:rsidR="00A2077F" w:rsidRPr="00236079">
        <w:t>ll</w:t>
      </w:r>
      <w:r w:rsidR="00805275" w:rsidRPr="00236079">
        <w:t>a</w:t>
      </w:r>
      <w:r w:rsidR="00A2077F" w:rsidRPr="00236079">
        <w:t>bora</w:t>
      </w:r>
      <w:r w:rsidR="00805275" w:rsidRPr="00236079">
        <w:t>tion</w:t>
      </w:r>
      <w:r w:rsidR="00A00F14" w:rsidRPr="00236079">
        <w:t>.</w:t>
      </w:r>
      <w:r w:rsidR="00A00F14" w:rsidRPr="00236079">
        <w:rPr>
          <w:rFonts w:eastAsiaTheme="minorHAnsi"/>
        </w:rPr>
        <w:t xml:space="preserve"> The CoR also looks forward</w:t>
      </w:r>
      <w:r w:rsidR="00A00F14" w:rsidRPr="00236079">
        <w:t xml:space="preserve"> to </w:t>
      </w:r>
      <w:r w:rsidR="00A00F14" w:rsidRPr="00236079">
        <w:rPr>
          <w:rFonts w:eastAsiaTheme="minorHAnsi"/>
        </w:rPr>
        <w:t>the timely creation of an urban agenda partnership</w:t>
      </w:r>
      <w:r w:rsidR="00A00F14" w:rsidRPr="00236079">
        <w:t xml:space="preserve"> on </w:t>
      </w:r>
      <w:r w:rsidR="00A00F14" w:rsidRPr="00236079">
        <w:rPr>
          <w:rFonts w:eastAsiaTheme="minorHAnsi"/>
        </w:rPr>
        <w:t>the thematic priority of climate change adaptation, including its economic, social and environmental dimension</w:t>
      </w:r>
      <w:r w:rsidRPr="00236079">
        <w:t>;</w:t>
      </w:r>
    </w:p>
    <w:p w:rsidR="0059540B" w:rsidRPr="00236079" w:rsidRDefault="0059540B" w:rsidP="00C4447F">
      <w:pPr>
        <w:spacing w:line="281" w:lineRule="auto"/>
      </w:pPr>
    </w:p>
    <w:p w:rsidR="005B5D90" w:rsidRPr="00236079" w:rsidRDefault="0041771F" w:rsidP="00C4447F">
      <w:pPr>
        <w:pStyle w:val="Heading1"/>
        <w:spacing w:line="281" w:lineRule="auto"/>
      </w:pPr>
      <w:r w:rsidRPr="00236079">
        <w:t>e</w:t>
      </w:r>
      <w:r w:rsidR="005B5D90" w:rsidRPr="00236079">
        <w:t xml:space="preserve">mphasises, in this regard, the need for a greater involvement of the cities and regions in the preparation and implementation of the national adaptation strategies and plans. </w:t>
      </w:r>
      <w:r w:rsidR="0059540B" w:rsidRPr="00236079">
        <w:rPr>
          <w:rFonts w:eastAsiaTheme="minorHAnsi"/>
        </w:rPr>
        <w:t xml:space="preserve">Calls therefore on the EU Member States to create the appropriate </w:t>
      </w:r>
      <w:r w:rsidR="0059540B" w:rsidRPr="00236079">
        <w:t>institutional</w:t>
      </w:r>
      <w:r w:rsidR="0059540B" w:rsidRPr="00236079">
        <w:rPr>
          <w:rFonts w:eastAsiaTheme="minorHAnsi"/>
        </w:rPr>
        <w:t xml:space="preserve"> structures </w:t>
      </w:r>
      <w:r w:rsidR="0059540B" w:rsidRPr="00236079">
        <w:t>or</w:t>
      </w:r>
      <w:r w:rsidR="0059540B" w:rsidRPr="00236079">
        <w:rPr>
          <w:rFonts w:eastAsiaTheme="minorHAnsi"/>
        </w:rPr>
        <w:t xml:space="preserve"> platforms to foster</w:t>
      </w:r>
      <w:r w:rsidR="005B5D90" w:rsidRPr="00236079">
        <w:t xml:space="preserve"> </w:t>
      </w:r>
      <w:r w:rsidR="001D32B1" w:rsidRPr="00236079">
        <w:t xml:space="preserve">continuous consultation and </w:t>
      </w:r>
      <w:r w:rsidR="005B5D90" w:rsidRPr="00236079">
        <w:t>closer cooperation</w:t>
      </w:r>
      <w:r w:rsidR="00ED2687" w:rsidRPr="00236079">
        <w:t xml:space="preserve"> </w:t>
      </w:r>
      <w:r w:rsidR="005B5D90" w:rsidRPr="00236079">
        <w:t xml:space="preserve">(e.g. </w:t>
      </w:r>
      <w:r w:rsidR="00ED5C6D" w:rsidRPr="00236079">
        <w:t xml:space="preserve">through </w:t>
      </w:r>
      <w:r w:rsidR="005B5D90" w:rsidRPr="00236079">
        <w:t>working groups)</w:t>
      </w:r>
      <w:r w:rsidR="00FA16AB" w:rsidRPr="00236079">
        <w:t xml:space="preserve"> – taking into account </w:t>
      </w:r>
      <w:r w:rsidR="001C53C7" w:rsidRPr="00236079">
        <w:t>Member States</w:t>
      </w:r>
      <w:r w:rsidR="00EC5966" w:rsidRPr="00236079">
        <w:t>'</w:t>
      </w:r>
      <w:r w:rsidR="001C53C7" w:rsidRPr="00236079">
        <w:t xml:space="preserve"> </w:t>
      </w:r>
      <w:r w:rsidR="00FA16AB" w:rsidRPr="00236079">
        <w:t>specificities</w:t>
      </w:r>
      <w:r w:rsidR="0059540B" w:rsidRPr="00236079">
        <w:rPr>
          <w:rFonts w:eastAsiaTheme="minorHAnsi"/>
        </w:rPr>
        <w:t xml:space="preserve"> and asks the European Commission to support and encourage this development;</w:t>
      </w:r>
      <w:r w:rsidR="00FA16AB" w:rsidRPr="00236079">
        <w:t xml:space="preserve"> </w:t>
      </w:r>
    </w:p>
    <w:p w:rsidR="009B7A79" w:rsidRPr="00236079" w:rsidRDefault="009B7A79" w:rsidP="00C4447F">
      <w:pPr>
        <w:spacing w:line="281" w:lineRule="auto"/>
      </w:pPr>
    </w:p>
    <w:p w:rsidR="009F4B83" w:rsidRPr="00236079" w:rsidRDefault="0041771F" w:rsidP="00C4447F">
      <w:pPr>
        <w:pStyle w:val="Heading1"/>
        <w:spacing w:line="281" w:lineRule="auto"/>
      </w:pPr>
      <w:r w:rsidRPr="00236079">
        <w:t>c</w:t>
      </w:r>
      <w:r w:rsidR="005B5D90" w:rsidRPr="00236079">
        <w:t xml:space="preserve">onsiders that the essential role of the regions shall be better reflected in the review of the </w:t>
      </w:r>
      <w:r w:rsidR="003C321B" w:rsidRPr="00236079">
        <w:t>SACC</w:t>
      </w:r>
      <w:r w:rsidR="002940E5" w:rsidRPr="00236079">
        <w:t xml:space="preserve"> (e.g. through a dedicated chapter)</w:t>
      </w:r>
      <w:r w:rsidR="005B5D90" w:rsidRPr="00236079">
        <w:t>, and their effort</w:t>
      </w:r>
      <w:r w:rsidR="00805275" w:rsidRPr="00236079">
        <w:t>s</w:t>
      </w:r>
      <w:r w:rsidR="005B5D90" w:rsidRPr="00236079">
        <w:t xml:space="preserve"> better supported. Indeed, regions play a coordinating/intermediary role in the adaptation process, making sure the priorities defined by </w:t>
      </w:r>
      <w:r w:rsidR="001C53C7" w:rsidRPr="00236079">
        <w:t xml:space="preserve">Member States </w:t>
      </w:r>
      <w:r w:rsidR="005B5D90" w:rsidRPr="00236079">
        <w:t xml:space="preserve">correspond to the needs and expectations </w:t>
      </w:r>
      <w:r w:rsidR="00295B9A" w:rsidRPr="00236079">
        <w:t>expressed</w:t>
      </w:r>
      <w:r w:rsidR="005B5D90" w:rsidRPr="00236079">
        <w:t xml:space="preserve"> on the ground and vice</w:t>
      </w:r>
      <w:r w:rsidR="001C53C7" w:rsidRPr="00236079">
        <w:t xml:space="preserve"> </w:t>
      </w:r>
      <w:r w:rsidR="005B5D90" w:rsidRPr="00236079">
        <w:t xml:space="preserve">versa. They can also act as catalysts, supporting the efforts deployed by local authorities in strengthening their resilience </w:t>
      </w:r>
      <w:r w:rsidR="009B7A79" w:rsidRPr="00236079">
        <w:rPr>
          <w:rFonts w:eastAsiaTheme="minorHAnsi"/>
        </w:rPr>
        <w:t>to climate and disaster risks</w:t>
      </w:r>
      <w:r w:rsidR="00A55D97" w:rsidRPr="00236079">
        <w:rPr>
          <w:rFonts w:eastAsiaTheme="minorHAnsi"/>
        </w:rPr>
        <w:t>,</w:t>
      </w:r>
      <w:r w:rsidR="009B7A79" w:rsidRPr="00236079">
        <w:t xml:space="preserve"> </w:t>
      </w:r>
      <w:r w:rsidR="005B5D90" w:rsidRPr="00236079">
        <w:t>building capacities and deploying available financing</w:t>
      </w:r>
      <w:r w:rsidR="009F4B83" w:rsidRPr="00236079">
        <w:t xml:space="preserve"> </w:t>
      </w:r>
      <w:r w:rsidR="009E1743" w:rsidRPr="00236079">
        <w:t xml:space="preserve">– as demonstrated by the regions already engaged </w:t>
      </w:r>
      <w:r w:rsidR="00A07449" w:rsidRPr="00236079">
        <w:t xml:space="preserve">in the </w:t>
      </w:r>
      <w:r w:rsidR="009E1743" w:rsidRPr="00236079">
        <w:t xml:space="preserve">Covenant of Mayors </w:t>
      </w:r>
      <w:r w:rsidR="00A07449" w:rsidRPr="00236079">
        <w:t xml:space="preserve">as </w:t>
      </w:r>
      <w:r w:rsidR="00EC5966" w:rsidRPr="00236079">
        <w:t>"</w:t>
      </w:r>
      <w:r w:rsidR="009E1743" w:rsidRPr="00236079">
        <w:t>Coordinators</w:t>
      </w:r>
      <w:r w:rsidR="00EC5966" w:rsidRPr="00236079">
        <w:t>"</w:t>
      </w:r>
      <w:r w:rsidR="005B5D90" w:rsidRPr="00236079">
        <w:t>.</w:t>
      </w:r>
      <w:r w:rsidR="009F4B83" w:rsidRPr="00236079">
        <w:t xml:space="preserve"> </w:t>
      </w:r>
      <w:r w:rsidR="009E1743" w:rsidRPr="00236079">
        <w:t>T</w:t>
      </w:r>
      <w:r w:rsidR="009F4B83" w:rsidRPr="00236079">
        <w:t xml:space="preserve">he </w:t>
      </w:r>
      <w:r w:rsidR="009E1743" w:rsidRPr="00236079">
        <w:t xml:space="preserve">CoR invites the </w:t>
      </w:r>
      <w:r w:rsidR="00C95E00" w:rsidRPr="00236079">
        <w:t xml:space="preserve">European </w:t>
      </w:r>
      <w:r w:rsidR="009F4B83" w:rsidRPr="00236079">
        <w:t>Co</w:t>
      </w:r>
      <w:r w:rsidR="009E1743" w:rsidRPr="00236079">
        <w:t xml:space="preserve">mmission </w:t>
      </w:r>
      <w:r w:rsidR="009F4B83" w:rsidRPr="00236079">
        <w:t xml:space="preserve">to further recognise the responsibilities taken and the actions carried out </w:t>
      </w:r>
      <w:r w:rsidR="009B7A79" w:rsidRPr="00236079">
        <w:rPr>
          <w:rFonts w:eastAsiaTheme="minorHAnsi"/>
        </w:rPr>
        <w:t>not only</w:t>
      </w:r>
      <w:r w:rsidR="009B7A79" w:rsidRPr="00236079">
        <w:t xml:space="preserve"> by </w:t>
      </w:r>
      <w:r w:rsidR="009B7A79" w:rsidRPr="00236079">
        <w:rPr>
          <w:rFonts w:eastAsiaTheme="minorHAnsi"/>
        </w:rPr>
        <w:t>local but also regional authorities</w:t>
      </w:r>
      <w:r w:rsidR="009B7A79" w:rsidRPr="00236079">
        <w:t xml:space="preserve"> </w:t>
      </w:r>
      <w:r w:rsidR="009D7DB5" w:rsidRPr="00236079">
        <w:t>in the framework of its Covenant</w:t>
      </w:r>
      <w:r w:rsidR="00C95E00" w:rsidRPr="00236079">
        <w:t xml:space="preserve"> of Mayors</w:t>
      </w:r>
      <w:r w:rsidR="009D7DB5" w:rsidRPr="00236079">
        <w:t xml:space="preserve"> initiative </w:t>
      </w:r>
      <w:r w:rsidR="00C95E00" w:rsidRPr="00236079">
        <w:t>(e.g. in a similar vein to</w:t>
      </w:r>
      <w:r w:rsidR="009F4B83" w:rsidRPr="00236079">
        <w:t xml:space="preserve"> what</w:t>
      </w:r>
      <w:r w:rsidR="00C95E00" w:rsidRPr="00236079">
        <w:t xml:space="preserve"> the</w:t>
      </w:r>
      <w:r w:rsidR="009F4B83" w:rsidRPr="00236079">
        <w:t xml:space="preserve"> RegionsAdapt</w:t>
      </w:r>
      <w:r w:rsidR="00C95E00" w:rsidRPr="00236079">
        <w:t xml:space="preserve"> initiative</w:t>
      </w:r>
      <w:r w:rsidR="009F4B83" w:rsidRPr="00236079">
        <w:t xml:space="preserve"> is currently </w:t>
      </w:r>
      <w:r w:rsidR="00624457" w:rsidRPr="00236079">
        <w:t>doing</w:t>
      </w:r>
      <w:r w:rsidR="00C95E00" w:rsidRPr="00236079">
        <w:t>)</w:t>
      </w:r>
      <w:r w:rsidRPr="00236079">
        <w:t>;</w:t>
      </w:r>
    </w:p>
    <w:p w:rsidR="009B7A79" w:rsidRPr="00236079" w:rsidRDefault="009B7A79" w:rsidP="00C4447F">
      <w:pPr>
        <w:spacing w:line="281" w:lineRule="auto"/>
      </w:pPr>
    </w:p>
    <w:p w:rsidR="00F27AF0" w:rsidRPr="00236079" w:rsidRDefault="0041771F" w:rsidP="00C4447F">
      <w:pPr>
        <w:pStyle w:val="Heading1"/>
        <w:spacing w:line="281" w:lineRule="auto"/>
      </w:pPr>
      <w:r w:rsidRPr="00236079">
        <w:t>p</w:t>
      </w:r>
      <w:r w:rsidR="00805275" w:rsidRPr="00236079">
        <w:t xml:space="preserve">oints out that the absence of a legislative prescriptive framework is perceived by local and regional authorities as an obstacle to action </w:t>
      </w:r>
      <w:r w:rsidR="00FC4180" w:rsidRPr="00236079">
        <w:t>in certain Member States. These</w:t>
      </w:r>
      <w:r w:rsidR="00805275" w:rsidRPr="00236079">
        <w:t xml:space="preserve"> </w:t>
      </w:r>
      <w:r w:rsidR="00FC4180" w:rsidRPr="00236079">
        <w:t xml:space="preserve">would </w:t>
      </w:r>
      <w:r w:rsidR="00805275" w:rsidRPr="00236079">
        <w:t xml:space="preserve">therefore welcome a clearer mandate from the EU and national authorities to take action on adaptation. </w:t>
      </w:r>
      <w:r w:rsidR="008872E1" w:rsidRPr="00236079">
        <w:t>At the national level, t</w:t>
      </w:r>
      <w:r w:rsidR="009615E9" w:rsidRPr="00236079">
        <w:t xml:space="preserve">he </w:t>
      </w:r>
      <w:r w:rsidR="00712970" w:rsidRPr="00236079">
        <w:t xml:space="preserve">CoR </w:t>
      </w:r>
      <w:r w:rsidR="00FC4180" w:rsidRPr="00236079">
        <w:t xml:space="preserve">welcomes </w:t>
      </w:r>
      <w:r w:rsidR="00712970" w:rsidRPr="00236079">
        <w:t xml:space="preserve">the </w:t>
      </w:r>
      <w:r w:rsidR="009615E9" w:rsidRPr="00236079">
        <w:t xml:space="preserve">recent efforts taken by some </w:t>
      </w:r>
      <w:r w:rsidR="001C53C7" w:rsidRPr="00236079">
        <w:t xml:space="preserve">Member States </w:t>
      </w:r>
      <w:r w:rsidR="00712970" w:rsidRPr="00236079">
        <w:t xml:space="preserve">in </w:t>
      </w:r>
      <w:r w:rsidR="00FC4180" w:rsidRPr="00236079">
        <w:t xml:space="preserve">mainstreaming adaptation considerations into specific legislation </w:t>
      </w:r>
      <w:r w:rsidR="00712970" w:rsidRPr="00236079">
        <w:t>(e.g. following the Water Framework Directive and Floods Directive)</w:t>
      </w:r>
      <w:r w:rsidRPr="00236079">
        <w:t>;</w:t>
      </w:r>
    </w:p>
    <w:p w:rsidR="00F27AF0" w:rsidRPr="00236079" w:rsidRDefault="00F27AF0" w:rsidP="00C4447F">
      <w:pPr>
        <w:spacing w:line="281" w:lineRule="auto"/>
      </w:pPr>
    </w:p>
    <w:p w:rsidR="00712970" w:rsidRPr="00236079" w:rsidRDefault="00F27AF0" w:rsidP="00C4447F">
      <w:pPr>
        <w:pStyle w:val="Heading1"/>
        <w:spacing w:line="281" w:lineRule="auto"/>
      </w:pPr>
      <w:r w:rsidRPr="00236079">
        <w:t>calls on the European Commission to examine how many local and regional authorities, in the EU and per Member State, have an adaptation strategy or plan. On this basis, the European Commission, in cooperation with local and regional authorities, could propose EU-wide and national targets to foster further development of local and regional adaptation strategies/plans by local and regional authorities;</w:t>
      </w:r>
    </w:p>
    <w:p w:rsidR="00F27AF0" w:rsidRPr="00236079" w:rsidRDefault="00F27AF0" w:rsidP="00C4447F">
      <w:pPr>
        <w:spacing w:line="281" w:lineRule="auto"/>
        <w:rPr>
          <w:rFonts w:eastAsiaTheme="minorHAnsi"/>
        </w:rPr>
      </w:pPr>
    </w:p>
    <w:p w:rsidR="00A55D97" w:rsidRPr="00236079" w:rsidRDefault="00A55D97" w:rsidP="00C4447F">
      <w:pPr>
        <w:pStyle w:val="ListParagraph"/>
        <w:keepNext/>
        <w:numPr>
          <w:ilvl w:val="0"/>
          <w:numId w:val="12"/>
        </w:numPr>
        <w:tabs>
          <w:tab w:val="left" w:pos="567"/>
        </w:tabs>
        <w:spacing w:line="281" w:lineRule="auto"/>
        <w:ind w:left="0" w:firstLine="0"/>
        <w:contextualSpacing w:val="0"/>
        <w:rPr>
          <w:rFonts w:eastAsiaTheme="minorHAnsi"/>
          <w:b/>
          <w:bCs/>
          <w:iCs/>
        </w:rPr>
      </w:pPr>
      <w:r w:rsidRPr="00236079">
        <w:rPr>
          <w:rFonts w:eastAsiaTheme="minorHAnsi"/>
          <w:b/>
          <w:bCs/>
          <w:iCs/>
        </w:rPr>
        <w:t xml:space="preserve">INVOLVING </w:t>
      </w:r>
      <w:r w:rsidR="0050151E" w:rsidRPr="00236079">
        <w:rPr>
          <w:rFonts w:eastAsiaTheme="minorHAnsi"/>
          <w:b/>
          <w:bCs/>
          <w:iCs/>
        </w:rPr>
        <w:t>&amp; MANAGING</w:t>
      </w:r>
    </w:p>
    <w:p w:rsidR="00A55D97" w:rsidRPr="00236079" w:rsidRDefault="00A55D97" w:rsidP="00C4447F">
      <w:pPr>
        <w:keepNext/>
        <w:spacing w:line="281" w:lineRule="auto"/>
      </w:pPr>
    </w:p>
    <w:p w:rsidR="005B5D90" w:rsidRPr="00236079" w:rsidRDefault="005B5D90" w:rsidP="00C4447F">
      <w:pPr>
        <w:keepNext/>
        <w:spacing w:line="281" w:lineRule="auto"/>
        <w:rPr>
          <w:i/>
        </w:rPr>
      </w:pPr>
      <w:r w:rsidRPr="00236079">
        <w:rPr>
          <w:i/>
        </w:rPr>
        <w:t>Strengthening multi-stakeholde</w:t>
      </w:r>
      <w:r w:rsidR="007160A9" w:rsidRPr="00236079">
        <w:rPr>
          <w:i/>
        </w:rPr>
        <w:t>r e</w:t>
      </w:r>
      <w:r w:rsidRPr="00236079">
        <w:rPr>
          <w:i/>
        </w:rPr>
        <w:t xml:space="preserve">ngagement &amp; breaking the </w:t>
      </w:r>
      <w:r w:rsidR="001C53C7" w:rsidRPr="00236079">
        <w:rPr>
          <w:i/>
        </w:rPr>
        <w:t>"</w:t>
      </w:r>
      <w:r w:rsidRPr="00236079">
        <w:rPr>
          <w:i/>
        </w:rPr>
        <w:t>silo-thinking</w:t>
      </w:r>
      <w:r w:rsidR="001C53C7" w:rsidRPr="00236079">
        <w:rPr>
          <w:i/>
        </w:rPr>
        <w:t>"</w:t>
      </w:r>
    </w:p>
    <w:p w:rsidR="002B6A78" w:rsidRPr="00236079" w:rsidRDefault="002B6A78" w:rsidP="00C4447F">
      <w:pPr>
        <w:keepNext/>
        <w:spacing w:line="281" w:lineRule="auto"/>
      </w:pPr>
    </w:p>
    <w:p w:rsidR="005B5D90" w:rsidRPr="00236079" w:rsidRDefault="0041771F" w:rsidP="00C4447F">
      <w:pPr>
        <w:pStyle w:val="Heading1"/>
        <w:spacing w:line="281" w:lineRule="auto"/>
      </w:pPr>
      <w:r w:rsidRPr="00236079">
        <w:t>s</w:t>
      </w:r>
      <w:r w:rsidR="005B5D90" w:rsidRPr="00236079">
        <w:t xml:space="preserve">tresses that </w:t>
      </w:r>
      <w:r w:rsidR="001C53C7" w:rsidRPr="00236079">
        <w:t>–</w:t>
      </w:r>
      <w:r w:rsidR="005B5D90" w:rsidRPr="00236079">
        <w:t xml:space="preserve"> in addition to a well-functioning multi-level governance framework – the review of the SACC shall put more emphasis on the necessity of multi-stakeholder involvement and a cross-sectoral (instead of silo-based) approach for a more efficient and integrated local adaptation action.</w:t>
      </w:r>
      <w:r w:rsidR="00652622" w:rsidRPr="00236079">
        <w:t xml:space="preserve"> The review could integrate </w:t>
      </w:r>
      <w:r w:rsidR="00DC7D0D" w:rsidRPr="00236079">
        <w:t xml:space="preserve">(or redirect to) </w:t>
      </w:r>
      <w:r w:rsidR="00652622" w:rsidRPr="00236079">
        <w:t xml:space="preserve">a few concrete examples that </w:t>
      </w:r>
      <w:r w:rsidR="000812A6" w:rsidRPr="00236079">
        <w:t>demonstrate the benefits of working to</w:t>
      </w:r>
      <w:r w:rsidR="000F5957" w:rsidRPr="00236079">
        <w:t>gether rather than in isolation</w:t>
      </w:r>
      <w:r w:rsidR="00C012DF" w:rsidRPr="00236079">
        <w:t xml:space="preserve"> </w:t>
      </w:r>
      <w:r w:rsidR="00591AA1" w:rsidRPr="00236079">
        <w:t>for the co-creation of solutions at regional/local levels</w:t>
      </w:r>
      <w:r w:rsidR="000A58CD" w:rsidRPr="00236079">
        <w:t xml:space="preserve">. </w:t>
      </w:r>
      <w:r w:rsidR="000A58CD" w:rsidRPr="00236079">
        <w:rPr>
          <w:rFonts w:eastAsiaTheme="minorHAnsi"/>
          <w:bCs/>
          <w:iCs/>
        </w:rPr>
        <w:t>Such participatory approaches should be strongly encouraged and supported, including through EU-funded projects (e.g. under future LIFE or Horizon 2020 calls)</w:t>
      </w:r>
      <w:r w:rsidRPr="00236079">
        <w:t>;</w:t>
      </w:r>
    </w:p>
    <w:p w:rsidR="009B7A79" w:rsidRPr="00236079" w:rsidRDefault="009B7A79" w:rsidP="00C4447F">
      <w:pPr>
        <w:spacing w:line="281" w:lineRule="auto"/>
      </w:pPr>
    </w:p>
    <w:p w:rsidR="005B5D90" w:rsidRPr="00236079" w:rsidRDefault="0041771F" w:rsidP="00C4447F">
      <w:pPr>
        <w:pStyle w:val="Heading1"/>
        <w:spacing w:line="281" w:lineRule="auto"/>
      </w:pPr>
      <w:r w:rsidRPr="00236079">
        <w:t>h</w:t>
      </w:r>
      <w:r w:rsidR="005B5D90" w:rsidRPr="00236079">
        <w:t xml:space="preserve">ighlights the importance of </w:t>
      </w:r>
      <w:r w:rsidR="009B7A79" w:rsidRPr="00236079">
        <w:t xml:space="preserve">investigating thoroughly </w:t>
      </w:r>
      <w:r w:rsidR="005B5D90" w:rsidRPr="00236079">
        <w:t xml:space="preserve">the success factors and barriers to </w:t>
      </w:r>
      <w:r w:rsidR="009B7A79" w:rsidRPr="00236079">
        <w:t xml:space="preserve">different </w:t>
      </w:r>
      <w:r w:rsidR="005B5D90" w:rsidRPr="00236079">
        <w:t xml:space="preserve">forms of cooperation between scientists, practitioners, and policy makers at local/regional levels. </w:t>
      </w:r>
      <w:r w:rsidR="009B7A79" w:rsidRPr="00236079">
        <w:t>This information should lead to p</w:t>
      </w:r>
      <w:r w:rsidR="005B5D90" w:rsidRPr="00236079">
        <w:t xml:space="preserve">ractical recommendations </w:t>
      </w:r>
      <w:r w:rsidR="009B7A79" w:rsidRPr="00236079">
        <w:t xml:space="preserve">based on </w:t>
      </w:r>
      <w:r w:rsidR="005B5D90" w:rsidRPr="00236079">
        <w:t xml:space="preserve">concrete examples of (multi-stakeholder/public-private) partnerships </w:t>
      </w:r>
      <w:r w:rsidR="009B7A79" w:rsidRPr="00236079">
        <w:rPr>
          <w:rFonts w:eastAsiaTheme="minorHAnsi"/>
          <w:bCs/>
          <w:iCs/>
        </w:rPr>
        <w:t>which should be disseminated widely</w:t>
      </w:r>
      <w:r w:rsidR="005B5D90" w:rsidRPr="00236079">
        <w:t xml:space="preserve">, e.g. through the </w:t>
      </w:r>
      <w:r w:rsidR="004416D1" w:rsidRPr="00236079">
        <w:t>European Climate Adaptation Platform (</w:t>
      </w:r>
      <w:hyperlink r:id="rId17" w:history="1">
        <w:r w:rsidR="004416D1" w:rsidRPr="00236079">
          <w:rPr>
            <w:rStyle w:val="Hyperlink"/>
          </w:rPr>
          <w:t>Climate-ADAPT</w:t>
        </w:r>
      </w:hyperlink>
      <w:r w:rsidR="004416D1" w:rsidRPr="00236079">
        <w:t>)</w:t>
      </w:r>
      <w:r w:rsidRPr="00236079">
        <w:t>;</w:t>
      </w:r>
    </w:p>
    <w:p w:rsidR="00B23688" w:rsidRPr="00236079" w:rsidRDefault="00B23688" w:rsidP="00C4447F">
      <w:pPr>
        <w:spacing w:line="281" w:lineRule="auto"/>
      </w:pPr>
    </w:p>
    <w:p w:rsidR="005B5D90" w:rsidRPr="00236079" w:rsidRDefault="009B7A79" w:rsidP="00C4447F">
      <w:pPr>
        <w:pStyle w:val="Heading1"/>
        <w:spacing w:line="281" w:lineRule="auto"/>
      </w:pPr>
      <w:r w:rsidRPr="00236079">
        <w:t>recalls</w:t>
      </w:r>
      <w:r w:rsidR="005B5D90" w:rsidRPr="00236079">
        <w:t xml:space="preserve"> t</w:t>
      </w:r>
      <w:r w:rsidR="00652622" w:rsidRPr="00236079">
        <w:t xml:space="preserve">he </w:t>
      </w:r>
      <w:r w:rsidR="005B5D90" w:rsidRPr="00236079">
        <w:t xml:space="preserve">need to raise awareness of the necessity to take </w:t>
      </w:r>
      <w:r w:rsidR="00B23688" w:rsidRPr="00236079">
        <w:t xml:space="preserve">integrated </w:t>
      </w:r>
      <w:r w:rsidR="00037ABA" w:rsidRPr="00236079">
        <w:t xml:space="preserve">adaptation </w:t>
      </w:r>
      <w:r w:rsidR="00B23688" w:rsidRPr="00236079">
        <w:t xml:space="preserve">and mitigation </w:t>
      </w:r>
      <w:r w:rsidR="005B5D90" w:rsidRPr="00236079">
        <w:t xml:space="preserve">action </w:t>
      </w:r>
      <w:r w:rsidR="00B23688" w:rsidRPr="00236079">
        <w:t xml:space="preserve">through all possible communication channels in order to achieve </w:t>
      </w:r>
      <w:r w:rsidR="005B5D90" w:rsidRPr="00236079">
        <w:t xml:space="preserve">the </w:t>
      </w:r>
      <w:r w:rsidR="00B23688" w:rsidRPr="00236079">
        <w:t xml:space="preserve">greatest possible </w:t>
      </w:r>
      <w:r w:rsidR="005B5D90" w:rsidRPr="00236079">
        <w:t xml:space="preserve">synergies between </w:t>
      </w:r>
      <w:r w:rsidR="00B23688" w:rsidRPr="00236079">
        <w:t xml:space="preserve">the two strands of the climate policy </w:t>
      </w:r>
      <w:r w:rsidR="005B5D90" w:rsidRPr="00236079">
        <w:t xml:space="preserve">and </w:t>
      </w:r>
      <w:r w:rsidR="00B23688" w:rsidRPr="00236079">
        <w:t xml:space="preserve">avoid </w:t>
      </w:r>
      <w:r w:rsidR="00624457" w:rsidRPr="00236079">
        <w:t>"</w:t>
      </w:r>
      <w:r w:rsidR="005B5D90" w:rsidRPr="00236079">
        <w:t>maladaptation</w:t>
      </w:r>
      <w:r w:rsidR="00624457" w:rsidRPr="00236079">
        <w:t>"</w:t>
      </w:r>
      <w:r w:rsidR="00B23688" w:rsidRPr="00236079">
        <w:t>.</w:t>
      </w:r>
      <w:r w:rsidR="00037ABA" w:rsidRPr="00236079">
        <w:t xml:space="preserve"> </w:t>
      </w:r>
      <w:r w:rsidR="005B5D90" w:rsidRPr="00236079">
        <w:t>To this end,</w:t>
      </w:r>
      <w:r w:rsidR="00E80F06" w:rsidRPr="00236079">
        <w:t xml:space="preserve"> the CoR</w:t>
      </w:r>
      <w:r w:rsidR="005B5D90" w:rsidRPr="00236079">
        <w:t xml:space="preserve"> calls on the European Commission to </w:t>
      </w:r>
      <w:r w:rsidR="00037ABA" w:rsidRPr="00236079">
        <w:t>explore</w:t>
      </w:r>
      <w:r w:rsidR="005B5D90" w:rsidRPr="00236079">
        <w:t xml:space="preserve"> in the review</w:t>
      </w:r>
      <w:r w:rsidR="00037ABA" w:rsidRPr="00236079">
        <w:t xml:space="preserve"> innovative mechanisms </w:t>
      </w:r>
      <w:r w:rsidR="00B23688" w:rsidRPr="00236079">
        <w:t xml:space="preserve">for </w:t>
      </w:r>
      <w:r w:rsidR="007D56B8" w:rsidRPr="00236079">
        <w:t>awareness-</w:t>
      </w:r>
      <w:r w:rsidR="00B23688" w:rsidRPr="00236079">
        <w:t xml:space="preserve">raising, increasing </w:t>
      </w:r>
      <w:r w:rsidR="00E46CDE" w:rsidRPr="00236079">
        <w:t xml:space="preserve">acceptance </w:t>
      </w:r>
      <w:r w:rsidR="006171B0" w:rsidRPr="00236079">
        <w:t>among local and</w:t>
      </w:r>
      <w:r w:rsidR="005B5D90" w:rsidRPr="00236079">
        <w:t xml:space="preserve"> regional p</w:t>
      </w:r>
      <w:r w:rsidR="006171B0" w:rsidRPr="00236079">
        <w:t>layers (incl.</w:t>
      </w:r>
      <w:r w:rsidR="005B5D90" w:rsidRPr="00236079">
        <w:t xml:space="preserve"> citizens and businesses</w:t>
      </w:r>
      <w:r w:rsidR="00486ADB" w:rsidRPr="00236079">
        <w:t xml:space="preserve">) </w:t>
      </w:r>
      <w:r w:rsidR="00B23688" w:rsidRPr="00236079">
        <w:t xml:space="preserve">and encouraging </w:t>
      </w:r>
      <w:r w:rsidR="002D069B" w:rsidRPr="00236079">
        <w:t>behavioural change</w:t>
      </w:r>
      <w:r w:rsidR="0041771F" w:rsidRPr="00236079">
        <w:t>;</w:t>
      </w:r>
      <w:r w:rsidR="005B5D90" w:rsidRPr="00236079">
        <w:t xml:space="preserve"> </w:t>
      </w:r>
    </w:p>
    <w:p w:rsidR="006529CB" w:rsidRPr="00236079" w:rsidRDefault="006529CB" w:rsidP="00C4447F">
      <w:pPr>
        <w:spacing w:line="281" w:lineRule="auto"/>
      </w:pPr>
    </w:p>
    <w:p w:rsidR="006529CB" w:rsidRPr="00236079" w:rsidRDefault="006529CB" w:rsidP="00C4447F">
      <w:pPr>
        <w:keepNext/>
        <w:spacing w:line="281" w:lineRule="auto"/>
        <w:rPr>
          <w:i/>
        </w:rPr>
      </w:pPr>
      <w:r w:rsidRPr="00236079">
        <w:rPr>
          <w:i/>
        </w:rPr>
        <w:t>Investing in capacit</w:t>
      </w:r>
      <w:r w:rsidR="006171B0" w:rsidRPr="00236079">
        <w:rPr>
          <w:i/>
        </w:rPr>
        <w:t>y building and knowledge sharing</w:t>
      </w:r>
    </w:p>
    <w:p w:rsidR="006529CB" w:rsidRPr="00236079" w:rsidRDefault="006529CB" w:rsidP="00C4447F">
      <w:pPr>
        <w:keepNext/>
        <w:spacing w:line="281" w:lineRule="auto"/>
      </w:pPr>
    </w:p>
    <w:p w:rsidR="00CB6F01" w:rsidRPr="00236079" w:rsidRDefault="0041771F" w:rsidP="00C4447F">
      <w:pPr>
        <w:pStyle w:val="Heading1"/>
        <w:spacing w:line="281" w:lineRule="auto"/>
      </w:pPr>
      <w:r w:rsidRPr="00236079">
        <w:t>h</w:t>
      </w:r>
      <w:r w:rsidR="006529CB" w:rsidRPr="00236079">
        <w:t xml:space="preserve">ighlights the importance of building further capacities and addressing knowledge gaps in European cities and regions; and considers the </w:t>
      </w:r>
      <w:r w:rsidR="004416D1" w:rsidRPr="00236079">
        <w:t xml:space="preserve">Climate-ADAPT portal </w:t>
      </w:r>
      <w:r w:rsidR="00E662A1" w:rsidRPr="00236079">
        <w:t xml:space="preserve">– and its associated Urban Adaptation Support Tool – </w:t>
      </w:r>
      <w:r w:rsidR="006529CB" w:rsidRPr="00236079">
        <w:t>as a good basis for this</w:t>
      </w:r>
      <w:r w:rsidR="007229D0" w:rsidRPr="00236079">
        <w:t>. The latter</w:t>
      </w:r>
      <w:r w:rsidR="006529CB" w:rsidRPr="00236079">
        <w:t xml:space="preserve"> however needs to be continuously consolidated and enriched, further promoted</w:t>
      </w:r>
      <w:r w:rsidR="007229D0" w:rsidRPr="00236079">
        <w:t xml:space="preserve"> and better linked with the Covenant of Mayors </w:t>
      </w:r>
      <w:r w:rsidR="004416D1" w:rsidRPr="00236079">
        <w:t>platform</w:t>
      </w:r>
      <w:r w:rsidR="006529CB" w:rsidRPr="00236079">
        <w:t>, and its user-friendliness improved.</w:t>
      </w:r>
      <w:r w:rsidR="00F13A6A" w:rsidRPr="00236079">
        <w:t xml:space="preserve"> </w:t>
      </w:r>
      <w:r w:rsidR="00CB6F01" w:rsidRPr="00236079">
        <w:t>The CoR invites the Commission to consult cities and regions to identify together how to t</w:t>
      </w:r>
      <w:r w:rsidR="00F13A6A" w:rsidRPr="00236079">
        <w:t>ailor</w:t>
      </w:r>
      <w:r w:rsidR="00CB6F01" w:rsidRPr="00236079">
        <w:t xml:space="preserve"> the</w:t>
      </w:r>
      <w:r w:rsidR="00F13A6A" w:rsidRPr="00236079">
        <w:t xml:space="preserve"> </w:t>
      </w:r>
      <w:r w:rsidR="00CB6F01" w:rsidRPr="00236079">
        <w:t>Climate-ADAPT portal</w:t>
      </w:r>
      <w:r w:rsidR="00F13A6A" w:rsidRPr="00236079">
        <w:t xml:space="preserve"> to best meet </w:t>
      </w:r>
      <w:r w:rsidR="00CB6F01" w:rsidRPr="00236079">
        <w:t>their</w:t>
      </w:r>
      <w:r w:rsidR="00F13A6A" w:rsidRPr="00236079">
        <w:t xml:space="preserve"> needs</w:t>
      </w:r>
      <w:r w:rsidR="00CB6F01" w:rsidRPr="00236079">
        <w:t>,</w:t>
      </w:r>
      <w:r w:rsidR="00CB6F01" w:rsidRPr="00236079">
        <w:rPr>
          <w:lang w:eastAsia="en-GB"/>
        </w:rPr>
        <w:t xml:space="preserve"> and </w:t>
      </w:r>
      <w:r w:rsidR="00551D3A" w:rsidRPr="00236079">
        <w:rPr>
          <w:lang w:eastAsia="en-GB"/>
        </w:rPr>
        <w:t xml:space="preserve">decide </w:t>
      </w:r>
      <w:r w:rsidR="00CB6F01" w:rsidRPr="00236079">
        <w:rPr>
          <w:lang w:eastAsia="en-GB"/>
        </w:rPr>
        <w:t xml:space="preserve">whether the tool </w:t>
      </w:r>
      <w:r w:rsidR="00E83101" w:rsidRPr="00236079">
        <w:rPr>
          <w:lang w:eastAsia="en-GB"/>
        </w:rPr>
        <w:t xml:space="preserve">should </w:t>
      </w:r>
      <w:r w:rsidR="00CB6F01" w:rsidRPr="00236079">
        <w:rPr>
          <w:lang w:eastAsia="en-GB"/>
        </w:rPr>
        <w:t>be integrated into the Covenant of Mayors website</w:t>
      </w:r>
      <w:r w:rsidRPr="00236079">
        <w:rPr>
          <w:lang w:eastAsia="en-GB"/>
        </w:rPr>
        <w:t>;</w:t>
      </w:r>
    </w:p>
    <w:p w:rsidR="00B23688" w:rsidRPr="00236079" w:rsidRDefault="00B23688" w:rsidP="00C4447F">
      <w:pPr>
        <w:spacing w:line="281" w:lineRule="auto"/>
      </w:pPr>
    </w:p>
    <w:p w:rsidR="007229D0" w:rsidRPr="00236079" w:rsidRDefault="0041771F" w:rsidP="00C4447F">
      <w:pPr>
        <w:pStyle w:val="Heading1"/>
        <w:spacing w:line="281" w:lineRule="auto"/>
      </w:pPr>
      <w:r w:rsidRPr="00236079">
        <w:t>u</w:t>
      </w:r>
      <w:r w:rsidR="00846F5E" w:rsidRPr="00236079">
        <w:t>nderlines</w:t>
      </w:r>
      <w:r w:rsidR="007229D0" w:rsidRPr="00236079">
        <w:t xml:space="preserve"> the </w:t>
      </w:r>
      <w:r w:rsidR="00846F5E" w:rsidRPr="00236079">
        <w:t>need</w:t>
      </w:r>
      <w:r w:rsidR="007229D0" w:rsidRPr="00236079">
        <w:t xml:space="preserve"> </w:t>
      </w:r>
      <w:r w:rsidR="00624457" w:rsidRPr="00236079">
        <w:t xml:space="preserve">to </w:t>
      </w:r>
      <w:r w:rsidR="007229D0" w:rsidRPr="00236079">
        <w:t>continu</w:t>
      </w:r>
      <w:r w:rsidR="00624457" w:rsidRPr="00236079">
        <w:t>e</w:t>
      </w:r>
      <w:r w:rsidR="007229D0" w:rsidRPr="00236079">
        <w:t xml:space="preserve"> the collection of good practice examples tested on the ground. </w:t>
      </w:r>
      <w:r w:rsidR="004A2119" w:rsidRPr="00236079">
        <w:t>Th</w:t>
      </w:r>
      <w:r w:rsidR="00551D3A" w:rsidRPr="00236079">
        <w:t xml:space="preserve">e </w:t>
      </w:r>
      <w:r w:rsidR="007229D0" w:rsidRPr="00236079">
        <w:t xml:space="preserve">good practices </w:t>
      </w:r>
      <w:r w:rsidR="004A2119" w:rsidRPr="00236079">
        <w:t>identified in cities and regions need</w:t>
      </w:r>
      <w:r w:rsidR="007229D0" w:rsidRPr="00236079">
        <w:t xml:space="preserve"> to</w:t>
      </w:r>
      <w:r w:rsidR="004A2119" w:rsidRPr="00236079">
        <w:t xml:space="preserve"> be</w:t>
      </w:r>
      <w:r w:rsidR="007229D0" w:rsidRPr="00236079">
        <w:t xml:space="preserve"> store</w:t>
      </w:r>
      <w:r w:rsidR="004A2119" w:rsidRPr="00236079">
        <w:t>d in a</w:t>
      </w:r>
      <w:r w:rsidR="00846F5E" w:rsidRPr="00236079">
        <w:t xml:space="preserve"> single,</w:t>
      </w:r>
      <w:r w:rsidR="007229D0" w:rsidRPr="00236079">
        <w:t xml:space="preserve"> publicly accessible</w:t>
      </w:r>
      <w:r w:rsidR="004A2119" w:rsidRPr="00236079">
        <w:t xml:space="preserve"> and </w:t>
      </w:r>
      <w:r w:rsidR="00B23688" w:rsidRPr="00236079">
        <w:t xml:space="preserve">easily searchable </w:t>
      </w:r>
      <w:r w:rsidR="007229D0" w:rsidRPr="00236079">
        <w:t>repository</w:t>
      </w:r>
      <w:r w:rsidR="00F13A6A" w:rsidRPr="00236079">
        <w:t xml:space="preserve"> (such as the </w:t>
      </w:r>
      <w:r w:rsidR="00F27AF0" w:rsidRPr="00236079">
        <w:t>Climate-ADAPT</w:t>
      </w:r>
      <w:r w:rsidR="00F13A6A" w:rsidRPr="00236079">
        <w:t xml:space="preserve"> portal </w:t>
      </w:r>
      <w:r w:rsidR="00E719D9" w:rsidRPr="00236079">
        <w:t>and/</w:t>
      </w:r>
      <w:r w:rsidR="00F13A6A" w:rsidRPr="00236079">
        <w:t>or the catalogue of Benchmarks on the Covenant of Mayors website)</w:t>
      </w:r>
      <w:r w:rsidR="00846F5E" w:rsidRPr="00236079">
        <w:t xml:space="preserve"> </w:t>
      </w:r>
      <w:r w:rsidR="004A2119" w:rsidRPr="00236079">
        <w:t xml:space="preserve">to </w:t>
      </w:r>
      <w:r w:rsidR="00846F5E" w:rsidRPr="00236079">
        <w:t>facilitat</w:t>
      </w:r>
      <w:r w:rsidR="004A2119" w:rsidRPr="00236079">
        <w:t xml:space="preserve">e </w:t>
      </w:r>
      <w:r w:rsidR="00846F5E" w:rsidRPr="00236079">
        <w:t xml:space="preserve">experience </w:t>
      </w:r>
      <w:r w:rsidR="00F13A6A" w:rsidRPr="00236079">
        <w:t>sharing</w:t>
      </w:r>
      <w:r w:rsidR="00846F5E" w:rsidRPr="00236079">
        <w:t xml:space="preserve"> </w:t>
      </w:r>
      <w:r w:rsidR="00F13A6A" w:rsidRPr="00236079">
        <w:t>between</w:t>
      </w:r>
      <w:r w:rsidR="00846F5E" w:rsidRPr="00236079">
        <w:t xml:space="preserve"> peers</w:t>
      </w:r>
      <w:r w:rsidR="007D56B8" w:rsidRPr="00236079">
        <w:t>.</w:t>
      </w:r>
      <w:r w:rsidR="00846F5E" w:rsidRPr="00236079">
        <w:t xml:space="preserve"> </w:t>
      </w:r>
      <w:r w:rsidR="00B23688" w:rsidRPr="00236079">
        <w:rPr>
          <w:rFonts w:eastAsiaTheme="minorHAnsi"/>
        </w:rPr>
        <w:t>In particular, such a database should contain the appropriate features that help identify examples which are based on</w:t>
      </w:r>
      <w:r w:rsidR="00B23688" w:rsidRPr="00236079">
        <w:t xml:space="preserve"> </w:t>
      </w:r>
      <w:r w:rsidR="00846F5E" w:rsidRPr="00236079">
        <w:t>similar circumstances (e.g. climate hazard risks, population density)</w:t>
      </w:r>
      <w:r w:rsidR="00F13A6A" w:rsidRPr="00236079">
        <w:t xml:space="preserve"> or present similar geographical </w:t>
      </w:r>
      <w:r w:rsidR="00FD2E87" w:rsidRPr="00236079">
        <w:t xml:space="preserve">characteristics </w:t>
      </w:r>
      <w:r w:rsidR="00F13A6A" w:rsidRPr="00236079">
        <w:t>(e.g.</w:t>
      </w:r>
      <w:r w:rsidR="00FD2E87" w:rsidRPr="00236079">
        <w:t xml:space="preserve"> location on or next to </w:t>
      </w:r>
      <w:r w:rsidR="00F13A6A" w:rsidRPr="00236079">
        <w:t>mountain</w:t>
      </w:r>
      <w:r w:rsidR="00FD2E87" w:rsidRPr="00236079">
        <w:t>s</w:t>
      </w:r>
      <w:r w:rsidR="00F13A6A" w:rsidRPr="00236079">
        <w:t>, a river or the sea)</w:t>
      </w:r>
      <w:r w:rsidR="00B23688" w:rsidRPr="00236079">
        <w:rPr>
          <w:rFonts w:eastAsiaTheme="minorHAnsi"/>
        </w:rPr>
        <w:t xml:space="preserve"> with a view to developing adaptation typologies</w:t>
      </w:r>
      <w:r w:rsidR="00846F5E" w:rsidRPr="00236079">
        <w:t>.</w:t>
      </w:r>
      <w:r w:rsidR="00BD51B8" w:rsidRPr="00236079">
        <w:t xml:space="preserve"> </w:t>
      </w:r>
      <w:r w:rsidR="00846F5E" w:rsidRPr="00236079">
        <w:t xml:space="preserve">The CoR is ready to contribute in the identification of </w:t>
      </w:r>
      <w:r w:rsidR="00CB6F01" w:rsidRPr="00236079">
        <w:t>successful</w:t>
      </w:r>
      <w:r w:rsidR="007229D0" w:rsidRPr="00236079">
        <w:t xml:space="preserve"> regional practices and </w:t>
      </w:r>
      <w:r w:rsidR="00F13A6A" w:rsidRPr="00236079">
        <w:t>the mobilisation of</w:t>
      </w:r>
      <w:r w:rsidR="007229D0" w:rsidRPr="00236079">
        <w:t xml:space="preserve"> pioneer regions</w:t>
      </w:r>
      <w:r w:rsidR="00CB6F01" w:rsidRPr="00236079">
        <w:t xml:space="preserve">, </w:t>
      </w:r>
      <w:r w:rsidR="00F27AF0" w:rsidRPr="00236079">
        <w:t xml:space="preserve">starting with the work carried out by </w:t>
      </w:r>
      <w:r w:rsidR="00CB6F01" w:rsidRPr="00236079">
        <w:t xml:space="preserve">its </w:t>
      </w:r>
      <w:r w:rsidR="00B23688" w:rsidRPr="00236079">
        <w:rPr>
          <w:rFonts w:eastAsiaTheme="minorHAnsi"/>
        </w:rPr>
        <w:t>ENVE Commission and</w:t>
      </w:r>
      <w:r w:rsidR="00B23688" w:rsidRPr="00236079">
        <w:t xml:space="preserve"> </w:t>
      </w:r>
      <w:r w:rsidR="00F27AF0" w:rsidRPr="00236079">
        <w:t xml:space="preserve">the </w:t>
      </w:r>
      <w:r w:rsidR="00F13A6A" w:rsidRPr="00236079">
        <w:t xml:space="preserve">group of </w:t>
      </w:r>
      <w:r w:rsidR="006B45E6" w:rsidRPr="00236079">
        <w:t>"</w:t>
      </w:r>
      <w:hyperlink r:id="rId18" w:history="1">
        <w:r w:rsidR="00F13A6A" w:rsidRPr="00236079">
          <w:rPr>
            <w:rStyle w:val="Hyperlink"/>
          </w:rPr>
          <w:t>C</w:t>
        </w:r>
        <w:r w:rsidR="00F27AF0" w:rsidRPr="00236079">
          <w:rPr>
            <w:rStyle w:val="Hyperlink"/>
          </w:rPr>
          <w:t>oR C</w:t>
        </w:r>
        <w:r w:rsidR="00F13A6A" w:rsidRPr="00236079">
          <w:rPr>
            <w:rStyle w:val="Hyperlink"/>
          </w:rPr>
          <w:t>ovenant Ambassadors</w:t>
        </w:r>
      </w:hyperlink>
      <w:r w:rsidR="006B45E6" w:rsidRPr="00236079">
        <w:t>"</w:t>
      </w:r>
      <w:r w:rsidR="00F27AF0" w:rsidRPr="00236079">
        <w:t xml:space="preserve"> which should be further expanded and promoted</w:t>
      </w:r>
      <w:r w:rsidRPr="00236079">
        <w:t>;</w:t>
      </w:r>
    </w:p>
    <w:p w:rsidR="007229D0" w:rsidRPr="00236079" w:rsidRDefault="007229D0" w:rsidP="00C4447F">
      <w:pPr>
        <w:spacing w:line="281" w:lineRule="auto"/>
      </w:pPr>
    </w:p>
    <w:p w:rsidR="007229D0" w:rsidRPr="00236079" w:rsidRDefault="0041771F" w:rsidP="00C4447F">
      <w:pPr>
        <w:pStyle w:val="Heading1"/>
        <w:spacing w:line="281" w:lineRule="auto"/>
      </w:pPr>
      <w:r w:rsidRPr="00236079">
        <w:t>e</w:t>
      </w:r>
      <w:r w:rsidR="007229D0" w:rsidRPr="00236079">
        <w:t>mphasises that knowledge transfer shall</w:t>
      </w:r>
      <w:r w:rsidR="00551D3A" w:rsidRPr="00236079">
        <w:t xml:space="preserve"> also</w:t>
      </w:r>
      <w:r w:rsidR="007229D0" w:rsidRPr="00236079">
        <w:t xml:space="preserve"> be facilitated through city-to-city cooperation</w:t>
      </w:r>
      <w:r w:rsidR="00551D3A" w:rsidRPr="00236079">
        <w:t>. Appropriate</w:t>
      </w:r>
      <w:r w:rsidR="007229D0" w:rsidRPr="00236079">
        <w:t xml:space="preserve"> peer-to-peer and mentoring </w:t>
      </w:r>
      <w:r w:rsidR="00551D3A" w:rsidRPr="00236079">
        <w:t>activities</w:t>
      </w:r>
      <w:r w:rsidR="000619E3" w:rsidRPr="00236079">
        <w:t xml:space="preserve"> shall</w:t>
      </w:r>
      <w:r w:rsidR="007229D0" w:rsidRPr="00236079">
        <w:t xml:space="preserve"> be identified, promoted and financed adequately</w:t>
      </w:r>
      <w:r w:rsidR="000619E3" w:rsidRPr="00236079">
        <w:t xml:space="preserve"> by the European Commission.</w:t>
      </w:r>
      <w:r w:rsidR="007229D0" w:rsidRPr="00236079">
        <w:t xml:space="preserve"> The twinning programmes already proposed by the Covenant of Mayors initiative </w:t>
      </w:r>
      <w:r w:rsidR="000619E3" w:rsidRPr="00236079">
        <w:t>have proven</w:t>
      </w:r>
      <w:r w:rsidR="007229D0" w:rsidRPr="00236079">
        <w:t xml:space="preserve"> to be successful and valuable, and should therefore be replicated </w:t>
      </w:r>
      <w:r w:rsidR="00B53034" w:rsidRPr="00236079">
        <w:t xml:space="preserve">and expanded </w:t>
      </w:r>
      <w:r w:rsidR="007229D0" w:rsidRPr="00236079">
        <w:t>in the future (e.g. through annual calls</w:t>
      </w:r>
      <w:r w:rsidR="00FD2E87" w:rsidRPr="00236079">
        <w:t xml:space="preserve"> for applications</w:t>
      </w:r>
      <w:r w:rsidR="007229D0" w:rsidRPr="00236079">
        <w:t>)</w:t>
      </w:r>
      <w:r w:rsidRPr="00236079">
        <w:t>;</w:t>
      </w:r>
    </w:p>
    <w:p w:rsidR="00B30F37" w:rsidRPr="00236079" w:rsidRDefault="00B30F37" w:rsidP="00C4447F">
      <w:pPr>
        <w:spacing w:line="281" w:lineRule="auto"/>
      </w:pPr>
    </w:p>
    <w:p w:rsidR="00FD2E87" w:rsidRPr="00236079" w:rsidRDefault="0041771F" w:rsidP="00C4447F">
      <w:pPr>
        <w:pStyle w:val="Heading1"/>
        <w:spacing w:line="281" w:lineRule="auto"/>
      </w:pPr>
      <w:r w:rsidRPr="00236079">
        <w:t>u</w:t>
      </w:r>
      <w:r w:rsidR="001070BC" w:rsidRPr="00236079">
        <w:t>rges</w:t>
      </w:r>
      <w:r w:rsidR="006529CB" w:rsidRPr="00236079">
        <w:t xml:space="preserve"> the European Commission </w:t>
      </w:r>
      <w:r w:rsidR="005700B2" w:rsidRPr="00236079">
        <w:t xml:space="preserve">to </w:t>
      </w:r>
      <w:r w:rsidR="00C14319" w:rsidRPr="00236079">
        <w:t xml:space="preserve">consolidate efforts to create an </w:t>
      </w:r>
      <w:r w:rsidR="001070BC" w:rsidRPr="00236079">
        <w:t xml:space="preserve">enabling framework for capacity building in cities and regions. The profusion of </w:t>
      </w:r>
      <w:hyperlink r:id="rId19" w:history="1">
        <w:r w:rsidR="001070BC" w:rsidRPr="00236079">
          <w:rPr>
            <w:rStyle w:val="Hyperlink"/>
          </w:rPr>
          <w:t>EU initiatives, tools and programmes</w:t>
        </w:r>
      </w:hyperlink>
      <w:r w:rsidR="005E4737" w:rsidRPr="00236079">
        <w:t xml:space="preserve"> </w:t>
      </w:r>
      <w:r w:rsidR="0081757E" w:rsidRPr="00236079">
        <w:t xml:space="preserve">that already offer various capacity-building opportunities for cities and regions (e.g. workshops, webinars, guidance materials) </w:t>
      </w:r>
      <w:r w:rsidR="005E4737" w:rsidRPr="00236079">
        <w:t>currently</w:t>
      </w:r>
      <w:r w:rsidR="001070BC" w:rsidRPr="00236079">
        <w:t xml:space="preserve"> causes confusion among their beneficiaries</w:t>
      </w:r>
      <w:r w:rsidRPr="00236079">
        <w:t>;</w:t>
      </w:r>
    </w:p>
    <w:p w:rsidR="00B23688" w:rsidRPr="00236079" w:rsidRDefault="00B23688" w:rsidP="00C4447F">
      <w:pPr>
        <w:spacing w:line="281" w:lineRule="auto"/>
      </w:pPr>
    </w:p>
    <w:p w:rsidR="001070BC" w:rsidRPr="00236079" w:rsidRDefault="0041771F" w:rsidP="00C4447F">
      <w:pPr>
        <w:pStyle w:val="Heading1"/>
        <w:spacing w:line="281" w:lineRule="auto"/>
      </w:pPr>
      <w:r w:rsidRPr="00236079">
        <w:t>a</w:t>
      </w:r>
      <w:r w:rsidR="005E4737" w:rsidRPr="00236079">
        <w:t>lthough some efforts are</w:t>
      </w:r>
      <w:r w:rsidR="00060F08" w:rsidRPr="00236079">
        <w:t xml:space="preserve"> being made</w:t>
      </w:r>
      <w:r w:rsidR="005E4737" w:rsidRPr="00236079">
        <w:t xml:space="preserve"> – notably with the</w:t>
      </w:r>
      <w:r w:rsidR="00060F08" w:rsidRPr="00236079">
        <w:t xml:space="preserve"> recent</w:t>
      </w:r>
      <w:r w:rsidR="00A67ADA" w:rsidRPr="00236079">
        <w:t xml:space="preserve"> launch of a </w:t>
      </w:r>
      <w:hyperlink r:id="rId20" w:history="1">
        <w:r w:rsidR="00A67ADA" w:rsidRPr="00236079">
          <w:rPr>
            <w:rStyle w:val="Hyperlink"/>
          </w:rPr>
          <w:t xml:space="preserve">new </w:t>
        </w:r>
        <w:r w:rsidR="006B45E6" w:rsidRPr="00236079">
          <w:rPr>
            <w:rStyle w:val="Hyperlink"/>
          </w:rPr>
          <w:t>"</w:t>
        </w:r>
        <w:r w:rsidR="005E4737" w:rsidRPr="00236079">
          <w:rPr>
            <w:rStyle w:val="Hyperlink"/>
          </w:rPr>
          <w:t>one-stop shop</w:t>
        </w:r>
        <w:r w:rsidR="006B45E6" w:rsidRPr="00236079">
          <w:rPr>
            <w:rStyle w:val="Hyperlink"/>
          </w:rPr>
          <w:t>"</w:t>
        </w:r>
        <w:r w:rsidR="005E4737" w:rsidRPr="00236079">
          <w:rPr>
            <w:rStyle w:val="Hyperlink"/>
          </w:rPr>
          <w:t xml:space="preserve"> portal</w:t>
        </w:r>
      </w:hyperlink>
      <w:r w:rsidR="005E4737" w:rsidRPr="00236079">
        <w:t xml:space="preserve"> in the framework of the EU Urban Agenda –</w:t>
      </w:r>
      <w:r w:rsidR="001256EF" w:rsidRPr="00236079">
        <w:t xml:space="preserve">, the Commission </w:t>
      </w:r>
      <w:r w:rsidR="00B23688" w:rsidRPr="00236079">
        <w:t xml:space="preserve">should </w:t>
      </w:r>
      <w:r w:rsidR="001256EF" w:rsidRPr="00236079">
        <w:t>clarify specificities but also complementarities between the different services proposed to cities and regions in the adaptation</w:t>
      </w:r>
      <w:r w:rsidR="001E7336" w:rsidRPr="00236079">
        <w:t xml:space="preserve"> </w:t>
      </w:r>
      <w:r w:rsidR="001256EF" w:rsidRPr="00236079">
        <w:t>(-related) field(s), and undertake to fill knowledge gaps that arise during this identification and compilation exercise. In this process, the CoR calls on the Commission to:</w:t>
      </w:r>
    </w:p>
    <w:p w:rsidR="00D86201" w:rsidRPr="00236079" w:rsidRDefault="00D86201" w:rsidP="00C4447F">
      <w:pPr>
        <w:spacing w:line="281" w:lineRule="auto"/>
      </w:pPr>
    </w:p>
    <w:p w:rsidR="001256EF" w:rsidRPr="00236079" w:rsidRDefault="000E1300" w:rsidP="00C4447F">
      <w:pPr>
        <w:pStyle w:val="ListParagraph"/>
        <w:numPr>
          <w:ilvl w:val="1"/>
          <w:numId w:val="4"/>
        </w:numPr>
        <w:spacing w:line="281" w:lineRule="auto"/>
        <w:ind w:left="851" w:hanging="284"/>
      </w:pPr>
      <w:r w:rsidRPr="00236079">
        <w:t>M</w:t>
      </w:r>
      <w:r w:rsidR="001256EF" w:rsidRPr="00236079">
        <w:t>ake best use of its major EU initiative for cities and regions on adaptation</w:t>
      </w:r>
      <w:r w:rsidR="00C14319" w:rsidRPr="00236079">
        <w:t xml:space="preserve">, </w:t>
      </w:r>
      <w:r w:rsidR="001256EF" w:rsidRPr="00236079">
        <w:t xml:space="preserve">the Covenant of Mayors for Climate </w:t>
      </w:r>
      <w:r w:rsidR="006B45E6" w:rsidRPr="00236079">
        <w:t>and</w:t>
      </w:r>
      <w:r w:rsidR="001256EF" w:rsidRPr="00236079">
        <w:t xml:space="preserve"> Energy</w:t>
      </w:r>
      <w:r w:rsidR="00C14319" w:rsidRPr="00236079">
        <w:t>,</w:t>
      </w:r>
      <w:r w:rsidR="00BA46E3" w:rsidRPr="00236079">
        <w:t xml:space="preserve"> and position</w:t>
      </w:r>
      <w:r w:rsidR="0081757E" w:rsidRPr="00236079">
        <w:t xml:space="preserve"> it</w:t>
      </w:r>
      <w:r w:rsidR="00BA46E3" w:rsidRPr="00236079">
        <w:t xml:space="preserve"> as the </w:t>
      </w:r>
      <w:r w:rsidR="004100EF" w:rsidRPr="00236079">
        <w:t xml:space="preserve">main </w:t>
      </w:r>
      <w:r w:rsidR="00BA46E3" w:rsidRPr="00236079">
        <w:t>umbrella initiative</w:t>
      </w:r>
      <w:r w:rsidR="0081757E" w:rsidRPr="00236079">
        <w:t xml:space="preserve"> for local climate action</w:t>
      </w:r>
      <w:r w:rsidRPr="00236079">
        <w:t>;</w:t>
      </w:r>
    </w:p>
    <w:p w:rsidR="001256EF" w:rsidRPr="00236079" w:rsidRDefault="000E1300" w:rsidP="00C4447F">
      <w:pPr>
        <w:pStyle w:val="ListParagraph"/>
        <w:numPr>
          <w:ilvl w:val="1"/>
          <w:numId w:val="4"/>
        </w:numPr>
        <w:spacing w:line="281" w:lineRule="auto"/>
        <w:ind w:left="851" w:hanging="284"/>
      </w:pPr>
      <w:r w:rsidRPr="00236079">
        <w:t>Continue mainstreaming</w:t>
      </w:r>
      <w:r w:rsidR="001256EF" w:rsidRPr="00236079">
        <w:t xml:space="preserve"> adaptation considerations into other</w:t>
      </w:r>
      <w:r w:rsidRPr="00236079">
        <w:t xml:space="preserve"> existing</w:t>
      </w:r>
      <w:r w:rsidR="001256EF" w:rsidRPr="00236079">
        <w:t xml:space="preserve"> EU initiatives</w:t>
      </w:r>
      <w:r w:rsidRPr="00236079">
        <w:t xml:space="preserve"> with an urban</w:t>
      </w:r>
      <w:r w:rsidR="007D56B8" w:rsidRPr="00236079">
        <w:t>, regional or rural</w:t>
      </w:r>
      <w:r w:rsidRPr="00236079">
        <w:t xml:space="preserve"> dimension;</w:t>
      </w:r>
    </w:p>
    <w:p w:rsidR="005B5D90" w:rsidRPr="00236079" w:rsidRDefault="000E1300" w:rsidP="00C4447F">
      <w:pPr>
        <w:pStyle w:val="ListParagraph"/>
        <w:numPr>
          <w:ilvl w:val="1"/>
          <w:numId w:val="4"/>
        </w:numPr>
        <w:spacing w:line="281" w:lineRule="auto"/>
        <w:ind w:left="851" w:hanging="284"/>
      </w:pPr>
      <w:r w:rsidRPr="00236079">
        <w:t>R</w:t>
      </w:r>
      <w:r w:rsidR="001256EF" w:rsidRPr="00236079">
        <w:t xml:space="preserve">einforce synergies with other partner initiatives (e.g. </w:t>
      </w:r>
      <w:hyperlink r:id="rId21" w:history="1">
        <w:r w:rsidR="001256EF" w:rsidRPr="00236079">
          <w:rPr>
            <w:rStyle w:val="Hyperlink"/>
          </w:rPr>
          <w:t>Regions Adapt</w:t>
        </w:r>
      </w:hyperlink>
      <w:r w:rsidR="001256EF" w:rsidRPr="00236079">
        <w:t xml:space="preserve">, </w:t>
      </w:r>
      <w:hyperlink r:id="rId22" w:history="1">
        <w:r w:rsidR="001256EF" w:rsidRPr="00236079">
          <w:rPr>
            <w:rStyle w:val="Hyperlink"/>
          </w:rPr>
          <w:t>Under2MoU</w:t>
        </w:r>
      </w:hyperlink>
      <w:r w:rsidR="001256EF" w:rsidRPr="00236079">
        <w:t xml:space="preserve">, </w:t>
      </w:r>
      <w:hyperlink r:id="rId23" w:history="1">
        <w:r w:rsidR="001256EF" w:rsidRPr="00236079">
          <w:rPr>
            <w:rStyle w:val="Hyperlink"/>
          </w:rPr>
          <w:t>Resilient Cities Campaign</w:t>
        </w:r>
      </w:hyperlink>
      <w:r w:rsidR="001256EF" w:rsidRPr="00236079">
        <w:t>)</w:t>
      </w:r>
      <w:r w:rsidRPr="00236079">
        <w:t xml:space="preserve"> to harness their experience and know-how, ensure greater coherence and stimulate joint actions for the benefits of the cities and regions</w:t>
      </w:r>
      <w:r w:rsidR="0041771F" w:rsidRPr="00236079">
        <w:t>;</w:t>
      </w:r>
    </w:p>
    <w:p w:rsidR="007D56B8" w:rsidRPr="00236079" w:rsidRDefault="007D56B8" w:rsidP="00C4447F">
      <w:pPr>
        <w:pStyle w:val="ListParagraph"/>
        <w:numPr>
          <w:ilvl w:val="1"/>
          <w:numId w:val="4"/>
        </w:numPr>
        <w:spacing w:line="281" w:lineRule="auto"/>
        <w:ind w:left="851" w:hanging="284"/>
      </w:pPr>
      <w:r w:rsidRPr="00236079">
        <w:rPr>
          <w:rFonts w:eastAsiaTheme="minorHAnsi"/>
        </w:rPr>
        <w:t>Encourage linkages with national, regional and local initiatives, which pursue ambitious targets</w:t>
      </w:r>
      <w:r w:rsidR="00D86201" w:rsidRPr="00236079">
        <w:rPr>
          <w:bCs/>
          <w:iCs/>
        </w:rPr>
        <w:t xml:space="preserve"> regardless of their involvement or not in any of the above mentioned initiatives</w:t>
      </w:r>
      <w:r w:rsidRPr="00236079">
        <w:rPr>
          <w:rFonts w:eastAsiaTheme="minorHAnsi"/>
        </w:rPr>
        <w:t>, offer networking opportunities and partnerships.</w:t>
      </w:r>
    </w:p>
    <w:p w:rsidR="007229D0" w:rsidRPr="00236079" w:rsidRDefault="007229D0" w:rsidP="00C4447F">
      <w:pPr>
        <w:spacing w:line="281" w:lineRule="auto"/>
      </w:pPr>
    </w:p>
    <w:p w:rsidR="007E2DCD" w:rsidRPr="00236079" w:rsidRDefault="00F33B67" w:rsidP="00C4447F">
      <w:pPr>
        <w:keepNext/>
        <w:spacing w:line="281" w:lineRule="auto"/>
        <w:rPr>
          <w:i/>
        </w:rPr>
      </w:pPr>
      <w:r w:rsidRPr="00236079">
        <w:rPr>
          <w:i/>
        </w:rPr>
        <w:t>Increasing the knowledge base</w:t>
      </w:r>
      <w:r w:rsidR="000346F1" w:rsidRPr="00236079">
        <w:rPr>
          <w:i/>
        </w:rPr>
        <w:t xml:space="preserve"> </w:t>
      </w:r>
      <w:r w:rsidR="007E2DCD" w:rsidRPr="00236079">
        <w:rPr>
          <w:i/>
        </w:rPr>
        <w:t>about climate risks and vulnerabilities</w:t>
      </w:r>
    </w:p>
    <w:p w:rsidR="003915A8" w:rsidRPr="00236079" w:rsidRDefault="003915A8" w:rsidP="00C4447F">
      <w:pPr>
        <w:keepNext/>
        <w:spacing w:line="281" w:lineRule="auto"/>
      </w:pPr>
    </w:p>
    <w:p w:rsidR="005B5D90" w:rsidRPr="00236079" w:rsidRDefault="0041771F" w:rsidP="00C4447F">
      <w:pPr>
        <w:pStyle w:val="Heading1"/>
        <w:spacing w:line="281" w:lineRule="auto"/>
      </w:pPr>
      <w:r w:rsidRPr="00236079">
        <w:t>a</w:t>
      </w:r>
      <w:r w:rsidR="005B5D90" w:rsidRPr="00236079">
        <w:t>cknowledges that all levels of govern</w:t>
      </w:r>
      <w:r w:rsidR="00B53034" w:rsidRPr="00236079">
        <w:t>ment</w:t>
      </w:r>
      <w:r w:rsidR="005B5D90" w:rsidRPr="00236079">
        <w:t xml:space="preserve"> – including cities and regions – need a sound understanding of the climate risks and vulnerabilities on their territory to guide their decision making and policy shaping processes.</w:t>
      </w:r>
      <w:r w:rsidR="00F33B67" w:rsidRPr="00236079">
        <w:t xml:space="preserve"> </w:t>
      </w:r>
      <w:r w:rsidR="007E2B7A" w:rsidRPr="00236079">
        <w:t xml:space="preserve">In this regard, the CoR calls on the </w:t>
      </w:r>
      <w:r w:rsidR="00107DD6" w:rsidRPr="00236079">
        <w:t>C</w:t>
      </w:r>
      <w:r w:rsidR="007E2B7A" w:rsidRPr="00236079">
        <w:t xml:space="preserve">ommission to further </w:t>
      </w:r>
      <w:r w:rsidR="00F33B67" w:rsidRPr="00236079">
        <w:t>support regional- and local-level risk</w:t>
      </w:r>
      <w:r w:rsidR="003A7F4B" w:rsidRPr="00236079">
        <w:t xml:space="preserve"> and vulnerability</w:t>
      </w:r>
      <w:r w:rsidR="00F33B67" w:rsidRPr="00236079">
        <w:t xml:space="preserve"> assessment frameworks</w:t>
      </w:r>
      <w:r w:rsidR="007E2B7A" w:rsidRPr="00236079">
        <w:t xml:space="preserve"> as they constitute the starting poi</w:t>
      </w:r>
      <w:r w:rsidR="003A7F4B" w:rsidRPr="00236079">
        <w:t xml:space="preserve">nt of any adaptation strategy </w:t>
      </w:r>
      <w:r w:rsidR="00C012DF" w:rsidRPr="00236079">
        <w:t>and support evidence-base action</w:t>
      </w:r>
      <w:r w:rsidRPr="00236079">
        <w:t>;</w:t>
      </w:r>
    </w:p>
    <w:p w:rsidR="005B5D90" w:rsidRPr="00236079" w:rsidRDefault="005B5D90" w:rsidP="00C4447F">
      <w:pPr>
        <w:spacing w:line="281" w:lineRule="auto"/>
      </w:pPr>
    </w:p>
    <w:p w:rsidR="00E752F3" w:rsidRPr="00236079" w:rsidRDefault="0041771F" w:rsidP="00C4447F">
      <w:pPr>
        <w:pStyle w:val="Heading1"/>
        <w:spacing w:line="281" w:lineRule="auto"/>
      </w:pPr>
      <w:r w:rsidRPr="00236079">
        <w:t>u</w:t>
      </w:r>
      <w:r w:rsidR="005B5D90" w:rsidRPr="00236079">
        <w:t>nderlines that local and regional authorities regularly point out 1) the lack of (access to) useful and understandable climate information and 2) the lack of expertise and experience in interpreting this information as barriers to adaptation action. Further assistance – through documentation and good practice sharing – is therefore required to first guide them through the already-existing information</w:t>
      </w:r>
      <w:r w:rsidR="006B45E6" w:rsidRPr="00236079">
        <w:t>, and</w:t>
      </w:r>
      <w:r w:rsidR="005B5D90" w:rsidRPr="00236079">
        <w:t xml:space="preserve"> secondly to help them in the exercise of downscaling and interpreting impacts at a city</w:t>
      </w:r>
      <w:r w:rsidR="00F37578" w:rsidRPr="00236079">
        <w:t>/region</w:t>
      </w:r>
      <w:r w:rsidR="005B5D90" w:rsidRPr="00236079">
        <w:t xml:space="preserve"> scale</w:t>
      </w:r>
      <w:r w:rsidRPr="00236079">
        <w:t>;</w:t>
      </w:r>
    </w:p>
    <w:p w:rsidR="002B6A78" w:rsidRPr="00236079" w:rsidRDefault="002B6A78" w:rsidP="00C4447F">
      <w:pPr>
        <w:spacing w:line="281" w:lineRule="auto"/>
      </w:pPr>
    </w:p>
    <w:p w:rsidR="005B5D90" w:rsidRPr="00236079" w:rsidRDefault="0041771F" w:rsidP="00C4447F">
      <w:pPr>
        <w:pStyle w:val="Heading1"/>
        <w:spacing w:line="281" w:lineRule="auto"/>
      </w:pPr>
      <w:r w:rsidRPr="00236079">
        <w:t>i</w:t>
      </w:r>
      <w:r w:rsidR="005B5D90" w:rsidRPr="00236079">
        <w:t xml:space="preserve">nvites the Commission to further support the ongoing efforts of the cities and regions in climate projection and risk assessment by reinforcing its </w:t>
      </w:r>
      <w:r w:rsidR="00620275" w:rsidRPr="00236079">
        <w:t xml:space="preserve">(research) </w:t>
      </w:r>
      <w:r w:rsidR="005B5D90" w:rsidRPr="00236079">
        <w:t>activities related to the identification of appropriate (risk modelling) tools and methods</w:t>
      </w:r>
      <w:r w:rsidR="00620275" w:rsidRPr="00236079">
        <w:t>, the development of (macro-)</w:t>
      </w:r>
      <w:r w:rsidR="00B53034" w:rsidRPr="00236079">
        <w:t xml:space="preserve"> </w:t>
      </w:r>
      <w:r w:rsidR="00620275" w:rsidRPr="00236079">
        <w:t xml:space="preserve">regional climate impact scenarios </w:t>
      </w:r>
      <w:r w:rsidR="005B5D90" w:rsidRPr="00236079">
        <w:t xml:space="preserve">and the creation of climate service networks (under the H2020 programme) at </w:t>
      </w:r>
      <w:r w:rsidR="00B23688" w:rsidRPr="00236079">
        <w:t xml:space="preserve">international, </w:t>
      </w:r>
      <w:r w:rsidR="005B5D90" w:rsidRPr="00236079">
        <w:t xml:space="preserve">European and (sub-)national levels. </w:t>
      </w:r>
      <w:r w:rsidR="00B23688" w:rsidRPr="00236079">
        <w:t xml:space="preserve">Such climate service networks </w:t>
      </w:r>
      <w:r w:rsidR="005B5D90" w:rsidRPr="00236079">
        <w:t xml:space="preserve">mobilise the relevant experts and data providers (e.g. </w:t>
      </w:r>
      <w:r w:rsidR="00C14319" w:rsidRPr="00236079">
        <w:t xml:space="preserve">the </w:t>
      </w:r>
      <w:r w:rsidR="005B5D90" w:rsidRPr="00236079">
        <w:t xml:space="preserve">research community) and make the existing information and knowledge accessible </w:t>
      </w:r>
      <w:r w:rsidR="00B23688" w:rsidRPr="00236079">
        <w:t xml:space="preserve">to </w:t>
      </w:r>
      <w:r w:rsidR="005B5D90" w:rsidRPr="00236079">
        <w:t xml:space="preserve">and understandable by local </w:t>
      </w:r>
      <w:r w:rsidR="006E6091" w:rsidRPr="00236079">
        <w:t xml:space="preserve">and </w:t>
      </w:r>
      <w:r w:rsidR="005B5D90" w:rsidRPr="00236079">
        <w:t>regional</w:t>
      </w:r>
      <w:r w:rsidR="006E6091" w:rsidRPr="00236079">
        <w:t xml:space="preserve"> policy makers</w:t>
      </w:r>
      <w:r w:rsidRPr="00236079">
        <w:t>;</w:t>
      </w:r>
    </w:p>
    <w:p w:rsidR="007E2B7A" w:rsidRPr="00236079" w:rsidRDefault="007E2B7A" w:rsidP="00C4447F">
      <w:pPr>
        <w:spacing w:line="281" w:lineRule="auto"/>
      </w:pPr>
    </w:p>
    <w:p w:rsidR="005B5D90" w:rsidRPr="00236079" w:rsidRDefault="0041771F" w:rsidP="00C4447F">
      <w:pPr>
        <w:pStyle w:val="Heading1"/>
        <w:spacing w:line="281" w:lineRule="auto"/>
      </w:pPr>
      <w:r w:rsidRPr="00236079">
        <w:t>h</w:t>
      </w:r>
      <w:r w:rsidR="005B5D90" w:rsidRPr="00236079">
        <w:t>ighlights the importance of supporting the disclosure of climate risks to encourage adaptation action and stimulate investment. Several new voluntary and/or private-led climate risk disclosure initiatives are emerging and could be further supported and promoted by the Commission</w:t>
      </w:r>
      <w:r w:rsidRPr="00236079">
        <w:t>;</w:t>
      </w:r>
    </w:p>
    <w:p w:rsidR="006E6091" w:rsidRPr="00236079" w:rsidRDefault="006E6091" w:rsidP="00C4447F">
      <w:pPr>
        <w:spacing w:line="281" w:lineRule="auto"/>
      </w:pPr>
    </w:p>
    <w:p w:rsidR="00575821" w:rsidRPr="00236079" w:rsidRDefault="0041771F" w:rsidP="00C4447F">
      <w:pPr>
        <w:pStyle w:val="Heading1"/>
        <w:spacing w:line="281" w:lineRule="auto"/>
      </w:pPr>
      <w:r w:rsidRPr="00236079">
        <w:t>w</w:t>
      </w:r>
      <w:r w:rsidR="005B5D90" w:rsidRPr="00236079">
        <w:t>elcomes, in this regard, the initiative of the Commission to explore collaboration opportunities with the insurance sector as</w:t>
      </w:r>
      <w:r w:rsidR="00902E2B" w:rsidRPr="00236079">
        <w:t xml:space="preserve"> a</w:t>
      </w:r>
      <w:r w:rsidR="005B5D90" w:rsidRPr="00236079">
        <w:t xml:space="preserve"> key </w:t>
      </w:r>
      <w:r w:rsidR="006E6091" w:rsidRPr="00236079">
        <w:t xml:space="preserve">provider of </w:t>
      </w:r>
      <w:r w:rsidR="005B5D90" w:rsidRPr="00236079">
        <w:t>data and potential</w:t>
      </w:r>
      <w:r w:rsidR="006E6091" w:rsidRPr="00236079">
        <w:t xml:space="preserve"> investment.</w:t>
      </w:r>
      <w:r w:rsidR="00017A19" w:rsidRPr="00236079">
        <w:t xml:space="preserve"> </w:t>
      </w:r>
      <w:r w:rsidR="006E6091" w:rsidRPr="00236079">
        <w:t>Encourages the Commission</w:t>
      </w:r>
      <w:r w:rsidR="00017A19" w:rsidRPr="00236079">
        <w:t xml:space="preserve"> </w:t>
      </w:r>
      <w:r w:rsidR="00107DD6" w:rsidRPr="00236079">
        <w:t xml:space="preserve">to </w:t>
      </w:r>
      <w:r w:rsidR="007E2B7A" w:rsidRPr="00236079">
        <w:t>assess insurance mechanisms that could incentivise prevention of risk and support damage reduction</w:t>
      </w:r>
      <w:r w:rsidR="006E6091" w:rsidRPr="00236079">
        <w:t xml:space="preserve"> and to work with i</w:t>
      </w:r>
      <w:r w:rsidR="005B5D90" w:rsidRPr="00236079">
        <w:t xml:space="preserve">nsurance companies </w:t>
      </w:r>
      <w:r w:rsidR="006E6091" w:rsidRPr="00236079">
        <w:t xml:space="preserve">to ensure that they </w:t>
      </w:r>
      <w:r w:rsidR="005B5D90" w:rsidRPr="00236079">
        <w:t xml:space="preserve">share their knowledge and expertise in risk modelling as well as in disaster risk management with the public sector. Existing successful partnerships </w:t>
      </w:r>
      <w:r w:rsidR="006E6091" w:rsidRPr="00236079">
        <w:t xml:space="preserve">should </w:t>
      </w:r>
      <w:r w:rsidR="005B5D90" w:rsidRPr="00236079">
        <w:t>be further promoted in the review in order to inspire and motivate others</w:t>
      </w:r>
      <w:r w:rsidR="006E6091" w:rsidRPr="00236079">
        <w:t>.</w:t>
      </w:r>
      <w:r w:rsidR="006E6091" w:rsidRPr="00236079">
        <w:rPr>
          <w:rFonts w:eastAsiaTheme="minorHAnsi"/>
          <w:bCs/>
          <w:iCs/>
        </w:rPr>
        <w:t xml:space="preserve"> Also highlights</w:t>
      </w:r>
      <w:r w:rsidR="006E6091" w:rsidRPr="00236079">
        <w:rPr>
          <w:rFonts w:eastAsiaTheme="minorHAnsi"/>
        </w:rPr>
        <w:t xml:space="preserve"> </w:t>
      </w:r>
      <w:r w:rsidR="006E6091" w:rsidRPr="00236079">
        <w:rPr>
          <w:rFonts w:eastAsiaTheme="minorHAnsi"/>
          <w:bCs/>
          <w:iCs/>
        </w:rPr>
        <w:t>in this context that, inversely, cities or regions deemed by insurers to be at</w:t>
      </w:r>
      <w:r w:rsidR="00233CC3" w:rsidRPr="00236079">
        <w:rPr>
          <w:rFonts w:eastAsiaTheme="minorHAnsi"/>
          <w:bCs/>
          <w:iCs/>
        </w:rPr>
        <w:t xml:space="preserve"> </w:t>
      </w:r>
      <w:r w:rsidR="00CF122B" w:rsidRPr="00236079">
        <w:rPr>
          <w:rFonts w:eastAsiaTheme="minorHAnsi"/>
          <w:bCs/>
          <w:iCs/>
        </w:rPr>
        <w:t>"</w:t>
      </w:r>
      <w:r w:rsidR="006E6091" w:rsidRPr="00236079">
        <w:rPr>
          <w:rFonts w:eastAsiaTheme="minorHAnsi"/>
          <w:bCs/>
          <w:iCs/>
        </w:rPr>
        <w:t>high risk</w:t>
      </w:r>
      <w:r w:rsidR="00CF122B" w:rsidRPr="00236079">
        <w:rPr>
          <w:rFonts w:eastAsiaTheme="minorHAnsi"/>
          <w:bCs/>
          <w:iCs/>
        </w:rPr>
        <w:t>"</w:t>
      </w:r>
      <w:r w:rsidR="006E6091" w:rsidRPr="00236079">
        <w:rPr>
          <w:rFonts w:eastAsiaTheme="minorHAnsi"/>
          <w:bCs/>
          <w:iCs/>
        </w:rPr>
        <w:t xml:space="preserve"> may also face particular obstacles to investment and development and encourages the European Commission to explore in the review how such problems could be addressed</w:t>
      </w:r>
      <w:r w:rsidRPr="00236079">
        <w:t>;</w:t>
      </w:r>
    </w:p>
    <w:p w:rsidR="00591AA1" w:rsidRPr="00236079" w:rsidRDefault="00591AA1" w:rsidP="00C4447F">
      <w:pPr>
        <w:spacing w:line="281" w:lineRule="auto"/>
      </w:pPr>
    </w:p>
    <w:p w:rsidR="005B5D90" w:rsidRPr="00236079" w:rsidRDefault="005B5D90" w:rsidP="00C4447F">
      <w:pPr>
        <w:keepNext/>
        <w:spacing w:line="281" w:lineRule="auto"/>
        <w:rPr>
          <w:i/>
        </w:rPr>
      </w:pPr>
      <w:r w:rsidRPr="00236079">
        <w:rPr>
          <w:i/>
        </w:rPr>
        <w:t xml:space="preserve">Exploring socio-economic benefits </w:t>
      </w:r>
    </w:p>
    <w:p w:rsidR="005B5D90" w:rsidRPr="00236079" w:rsidRDefault="005B5D90" w:rsidP="00C4447F">
      <w:pPr>
        <w:keepNext/>
        <w:spacing w:line="281" w:lineRule="auto"/>
      </w:pPr>
    </w:p>
    <w:p w:rsidR="005B5D90" w:rsidRPr="00236079" w:rsidRDefault="0041771F" w:rsidP="00C4447F">
      <w:pPr>
        <w:pStyle w:val="Heading1"/>
        <w:spacing w:line="281" w:lineRule="auto"/>
      </w:pPr>
      <w:r w:rsidRPr="00236079">
        <w:t>c</w:t>
      </w:r>
      <w:r w:rsidR="005B5D90" w:rsidRPr="00236079">
        <w:t xml:space="preserve">onsiders that the review shall promote further the advantages of carrying out an assessment of the socio-economic implications of adaptation. Such a socio-economic analysis guides decision-makers by providing them with a clearer overview of the possible costs and benefits of adaptation action </w:t>
      </w:r>
      <w:r w:rsidR="00113460" w:rsidRPr="00236079">
        <w:t>as opposed to</w:t>
      </w:r>
      <w:r w:rsidR="005B5D90" w:rsidRPr="00236079">
        <w:t xml:space="preserve"> inaction, and therefore helps to raise awareness</w:t>
      </w:r>
      <w:r w:rsidR="00113460" w:rsidRPr="00236079">
        <w:t>,</w:t>
      </w:r>
      <w:r w:rsidR="005B5D90" w:rsidRPr="00236079">
        <w:t xml:space="preserve"> </w:t>
      </w:r>
      <w:r w:rsidR="00591AA1" w:rsidRPr="00236079">
        <w:t xml:space="preserve">understand capacity constraints </w:t>
      </w:r>
      <w:r w:rsidR="00113460" w:rsidRPr="00236079">
        <w:t>and</w:t>
      </w:r>
      <w:r w:rsidR="00591AA1" w:rsidRPr="00236079">
        <w:t xml:space="preserve"> identify </w:t>
      </w:r>
      <w:r w:rsidR="00113460" w:rsidRPr="00236079">
        <w:t xml:space="preserve">the most economically </w:t>
      </w:r>
      <w:r w:rsidR="00591AA1" w:rsidRPr="00236079">
        <w:t>viable</w:t>
      </w:r>
      <w:r w:rsidR="00113460" w:rsidRPr="00236079">
        <w:t xml:space="preserve"> policy</w:t>
      </w:r>
      <w:r w:rsidR="00591AA1" w:rsidRPr="00236079">
        <w:t xml:space="preserve"> </w:t>
      </w:r>
      <w:r w:rsidR="00113460" w:rsidRPr="00236079">
        <w:t>options</w:t>
      </w:r>
      <w:r w:rsidRPr="00236079">
        <w:t>;</w:t>
      </w:r>
    </w:p>
    <w:p w:rsidR="005B5D90" w:rsidRPr="00236079" w:rsidRDefault="005B5D90" w:rsidP="00C4447F">
      <w:pPr>
        <w:spacing w:line="281" w:lineRule="auto"/>
      </w:pPr>
    </w:p>
    <w:p w:rsidR="005B5D90" w:rsidRPr="00236079" w:rsidRDefault="0041771F" w:rsidP="00C4447F">
      <w:pPr>
        <w:pStyle w:val="Heading1"/>
        <w:spacing w:line="281" w:lineRule="auto"/>
      </w:pPr>
      <w:r w:rsidRPr="00236079">
        <w:t>p</w:t>
      </w:r>
      <w:r w:rsidR="005B5D90" w:rsidRPr="00236079">
        <w:t>oints out that cities and regions need further information on the different existing methods</w:t>
      </w:r>
      <w:r w:rsidR="00591AA1" w:rsidRPr="00236079">
        <w:t xml:space="preserve"> </w:t>
      </w:r>
      <w:r w:rsidR="005B5D90" w:rsidRPr="00236079">
        <w:t xml:space="preserve">that can be applied for such an assessment (e.g. cost-benefits, multi-criteria, stakeholder decision, experiment </w:t>
      </w:r>
      <w:r w:rsidR="006B45E6" w:rsidRPr="00236079">
        <w:t>and</w:t>
      </w:r>
      <w:r w:rsidR="005B5D90" w:rsidRPr="00236079">
        <w:t xml:space="preserve"> observe)</w:t>
      </w:r>
      <w:r w:rsidR="00591AA1" w:rsidRPr="00236079">
        <w:t xml:space="preserve"> </w:t>
      </w:r>
      <w:r w:rsidR="00130C13" w:rsidRPr="00236079">
        <w:t>and</w:t>
      </w:r>
      <w:r w:rsidR="00591AA1" w:rsidRPr="00236079">
        <w:t xml:space="preserve"> their relevance in different context</w:t>
      </w:r>
      <w:r w:rsidR="00130C13" w:rsidRPr="00236079">
        <w:t>s</w:t>
      </w:r>
      <w:r w:rsidR="005B5D90" w:rsidRPr="00236079">
        <w:t xml:space="preserve">, and therefore </w:t>
      </w:r>
      <w:r w:rsidR="00130C13" w:rsidRPr="00236079">
        <w:t>suggests</w:t>
      </w:r>
      <w:r w:rsidR="005B5D90" w:rsidRPr="00236079">
        <w:t xml:space="preserve"> </w:t>
      </w:r>
      <w:r w:rsidR="006B45E6" w:rsidRPr="00236079">
        <w:t xml:space="preserve">that </w:t>
      </w:r>
      <w:r w:rsidR="005B5D90" w:rsidRPr="00236079">
        <w:t>the Commission provide appropriate support through its reference platforms</w:t>
      </w:r>
      <w:r w:rsidR="00130C13" w:rsidRPr="00236079">
        <w:t>,</w:t>
      </w:r>
      <w:r w:rsidR="005B5D90" w:rsidRPr="00236079">
        <w:t xml:space="preserve"> Climate-ADAPT and</w:t>
      </w:r>
      <w:r w:rsidR="00130C13" w:rsidRPr="00236079">
        <w:t xml:space="preserve"> the </w:t>
      </w:r>
      <w:r w:rsidR="005B5D90" w:rsidRPr="00236079">
        <w:t>Covenant of Mayors</w:t>
      </w:r>
      <w:r w:rsidRPr="00236079">
        <w:t>;</w:t>
      </w:r>
    </w:p>
    <w:p w:rsidR="00CB06C5" w:rsidRPr="00236079" w:rsidRDefault="00CB06C5" w:rsidP="00C4447F">
      <w:pPr>
        <w:spacing w:line="281" w:lineRule="auto"/>
      </w:pPr>
    </w:p>
    <w:p w:rsidR="005B5D90" w:rsidRPr="00236079" w:rsidRDefault="005B5D90" w:rsidP="00C4447F">
      <w:pPr>
        <w:keepNext/>
        <w:spacing w:line="281" w:lineRule="auto"/>
        <w:rPr>
          <w:i/>
        </w:rPr>
      </w:pPr>
      <w:r w:rsidRPr="00236079">
        <w:rPr>
          <w:i/>
        </w:rPr>
        <w:t>Monitoring, reporting and evaluating the action</w:t>
      </w:r>
    </w:p>
    <w:p w:rsidR="005B5D90" w:rsidRPr="00236079" w:rsidRDefault="005B5D90" w:rsidP="00C4447F">
      <w:pPr>
        <w:keepNext/>
        <w:spacing w:line="281" w:lineRule="auto"/>
      </w:pPr>
    </w:p>
    <w:p w:rsidR="005B5D90" w:rsidRPr="00236079" w:rsidRDefault="0041771F" w:rsidP="00C4447F">
      <w:pPr>
        <w:pStyle w:val="Heading1"/>
        <w:spacing w:line="281" w:lineRule="auto"/>
      </w:pPr>
      <w:r w:rsidRPr="00236079">
        <w:t>s</w:t>
      </w:r>
      <w:r w:rsidR="005B5D90" w:rsidRPr="00236079">
        <w:t xml:space="preserve">tresses the need to equip local and regional authorities with the appropriate monitoring, reporting and evaluation (MRE) tools and indicators to inform and support local adaptation planning. The latter could once more be promoted through the reference adaptation platforms (Climate-ADAPT and </w:t>
      </w:r>
      <w:r w:rsidR="007858B1" w:rsidRPr="00236079">
        <w:t xml:space="preserve">the </w:t>
      </w:r>
      <w:r w:rsidR="005B5D90" w:rsidRPr="00236079">
        <w:t>Covenant of Mayors)</w:t>
      </w:r>
      <w:r w:rsidRPr="00236079">
        <w:t>;</w:t>
      </w:r>
    </w:p>
    <w:p w:rsidR="005B5D90" w:rsidRPr="00236079" w:rsidRDefault="005B5D90" w:rsidP="00C4447F">
      <w:pPr>
        <w:spacing w:line="281" w:lineRule="auto"/>
      </w:pPr>
    </w:p>
    <w:p w:rsidR="007858B1" w:rsidRPr="00236079" w:rsidRDefault="0041771F" w:rsidP="00C4447F">
      <w:pPr>
        <w:pStyle w:val="Heading1"/>
        <w:spacing w:line="281" w:lineRule="auto"/>
      </w:pPr>
      <w:r w:rsidRPr="00236079">
        <w:t>i</w:t>
      </w:r>
      <w:r w:rsidR="005B5D90" w:rsidRPr="00236079">
        <w:t xml:space="preserve">s convinced of the importance of </w:t>
      </w:r>
      <w:r w:rsidR="00FE51E9" w:rsidRPr="00236079">
        <w:t>making sure</w:t>
      </w:r>
      <w:r w:rsidR="005B5D90" w:rsidRPr="00236079">
        <w:t xml:space="preserve"> </w:t>
      </w:r>
      <w:r w:rsidR="00FE51E9" w:rsidRPr="00236079">
        <w:t xml:space="preserve">that </w:t>
      </w:r>
      <w:r w:rsidR="005B5D90" w:rsidRPr="00236079">
        <w:t>the international, European, national and regional/local MRE frameworks</w:t>
      </w:r>
      <w:r w:rsidR="00FE51E9" w:rsidRPr="00236079">
        <w:t xml:space="preserve"> are mutually compatible and build on each other</w:t>
      </w:r>
      <w:r w:rsidR="005B5D90" w:rsidRPr="00236079">
        <w:t xml:space="preserve"> </w:t>
      </w:r>
      <w:r w:rsidR="00FE51E9" w:rsidRPr="00236079">
        <w:t>– this will</w:t>
      </w:r>
      <w:r w:rsidR="005B5D90" w:rsidRPr="00236079">
        <w:t xml:space="preserve"> </w:t>
      </w:r>
      <w:r w:rsidR="00FE51E9" w:rsidRPr="00236079">
        <w:t xml:space="preserve">guarantee coherence and </w:t>
      </w:r>
      <w:r w:rsidR="005B5D90" w:rsidRPr="00236079">
        <w:t>minimise the burden on cities and regions</w:t>
      </w:r>
      <w:r w:rsidRPr="00236079">
        <w:t>;</w:t>
      </w:r>
      <w:r w:rsidR="007858B1" w:rsidRPr="00236079">
        <w:t xml:space="preserve"> </w:t>
      </w:r>
    </w:p>
    <w:p w:rsidR="007858B1" w:rsidRPr="00236079" w:rsidRDefault="007858B1" w:rsidP="00C4447F">
      <w:pPr>
        <w:spacing w:line="281" w:lineRule="auto"/>
      </w:pPr>
    </w:p>
    <w:p w:rsidR="005B5D90" w:rsidRPr="00236079" w:rsidRDefault="0041771F" w:rsidP="00C4447F">
      <w:pPr>
        <w:pStyle w:val="Heading1"/>
        <w:spacing w:line="281" w:lineRule="auto"/>
      </w:pPr>
      <w:r w:rsidRPr="00236079">
        <w:t>w</w:t>
      </w:r>
      <w:r w:rsidR="005B5D90" w:rsidRPr="00236079">
        <w:t xml:space="preserve">elcomes the progress </w:t>
      </w:r>
      <w:r w:rsidR="00C14319" w:rsidRPr="00236079">
        <w:t>which</w:t>
      </w:r>
      <w:r w:rsidR="005B5D90" w:rsidRPr="00236079">
        <w:t xml:space="preserve"> has been achieved</w:t>
      </w:r>
      <w:r w:rsidR="00B14844" w:rsidRPr="00236079">
        <w:t xml:space="preserve"> to th</w:t>
      </w:r>
      <w:r w:rsidR="00C14319" w:rsidRPr="00236079">
        <w:t>is</w:t>
      </w:r>
      <w:r w:rsidR="00B14844" w:rsidRPr="00236079">
        <w:t xml:space="preserve"> end</w:t>
      </w:r>
      <w:r w:rsidR="005B5D90" w:rsidRPr="00236079">
        <w:t xml:space="preserve"> since the publication of the SACC with the development of the </w:t>
      </w:r>
      <w:r w:rsidR="006B45E6" w:rsidRPr="00236079">
        <w:t>"</w:t>
      </w:r>
      <w:hyperlink r:id="rId24" w:history="1">
        <w:r w:rsidR="005B5D90" w:rsidRPr="00236079">
          <w:rPr>
            <w:rStyle w:val="Hyperlink"/>
          </w:rPr>
          <w:t>adaptation preparedness scoreboard</w:t>
        </w:r>
      </w:hyperlink>
      <w:r w:rsidR="006B45E6" w:rsidRPr="00236079">
        <w:t>"</w:t>
      </w:r>
      <w:r w:rsidR="005B5D90" w:rsidRPr="00236079">
        <w:t xml:space="preserve"> for EU Member States and the </w:t>
      </w:r>
      <w:r w:rsidR="006B45E6" w:rsidRPr="00236079">
        <w:t>"</w:t>
      </w:r>
      <w:hyperlink r:id="rId25" w:history="1">
        <w:r w:rsidR="005B5D90" w:rsidRPr="00236079">
          <w:rPr>
            <w:rStyle w:val="Hyperlink"/>
          </w:rPr>
          <w:t>Covenant of Mayors monitoring and reporting template</w:t>
        </w:r>
      </w:hyperlink>
      <w:r w:rsidR="006B45E6" w:rsidRPr="00236079">
        <w:t>"</w:t>
      </w:r>
      <w:r w:rsidR="005B5D90" w:rsidRPr="00236079">
        <w:t xml:space="preserve"> for signatory cities and is pleased </w:t>
      </w:r>
      <w:r w:rsidR="007858B1" w:rsidRPr="00236079">
        <w:t>about the</w:t>
      </w:r>
      <w:r w:rsidR="005B5D90" w:rsidRPr="00236079">
        <w:t xml:space="preserve"> strong linkages ensured between the two, but considers that further promotion and guidance on their use are still required (e.g. through the Covenant of Mayors website)</w:t>
      </w:r>
      <w:r w:rsidRPr="00236079">
        <w:t>;</w:t>
      </w:r>
      <w:r w:rsidR="005B5D90" w:rsidRPr="00236079">
        <w:t xml:space="preserve"> </w:t>
      </w:r>
    </w:p>
    <w:p w:rsidR="005B5D90" w:rsidRPr="00236079" w:rsidRDefault="005B5D90" w:rsidP="00C4447F">
      <w:pPr>
        <w:spacing w:line="281" w:lineRule="auto"/>
      </w:pPr>
    </w:p>
    <w:p w:rsidR="005B5D90" w:rsidRPr="00236079" w:rsidRDefault="0041771F" w:rsidP="00C4447F">
      <w:pPr>
        <w:pStyle w:val="Heading1"/>
        <w:spacing w:line="281" w:lineRule="auto"/>
      </w:pPr>
      <w:r w:rsidRPr="00236079">
        <w:t>u</w:t>
      </w:r>
      <w:r w:rsidR="005B5D90" w:rsidRPr="00236079">
        <w:t xml:space="preserve">nderlines that further synergies with other partner initiatives </w:t>
      </w:r>
      <w:r w:rsidR="00FE51E9" w:rsidRPr="00236079">
        <w:t xml:space="preserve">proposed in parallel </w:t>
      </w:r>
      <w:r w:rsidR="005B5D90" w:rsidRPr="00236079">
        <w:t xml:space="preserve">at international or European levels (e.g. Regions Adapt, CRAFT, Resilient Cities) that have their own MRE systems </w:t>
      </w:r>
      <w:r w:rsidR="00B14844" w:rsidRPr="00236079">
        <w:t>sh</w:t>
      </w:r>
      <w:r w:rsidR="005B5D90" w:rsidRPr="00236079">
        <w:t xml:space="preserve">ould still be explored, but </w:t>
      </w:r>
      <w:r w:rsidR="007858B1" w:rsidRPr="00236079">
        <w:t xml:space="preserve">points out that </w:t>
      </w:r>
      <w:r w:rsidR="005B5D90" w:rsidRPr="00236079">
        <w:t>further harmonisation efforts or collaboration should not be to the detriment of cities</w:t>
      </w:r>
      <w:r w:rsidR="00CF122B" w:rsidRPr="00236079">
        <w:t>'</w:t>
      </w:r>
      <w:r w:rsidR="005B5D90" w:rsidRPr="00236079">
        <w:t>/regions</w:t>
      </w:r>
      <w:r w:rsidR="00CF122B" w:rsidRPr="00236079">
        <w:t>'</w:t>
      </w:r>
      <w:r w:rsidR="005B5D90" w:rsidRPr="00236079">
        <w:t xml:space="preserve"> needs</w:t>
      </w:r>
      <w:r w:rsidR="00FE51E9" w:rsidRPr="00236079">
        <w:t xml:space="preserve"> and</w:t>
      </w:r>
      <w:r w:rsidR="005B5D90" w:rsidRPr="00236079">
        <w:t xml:space="preserve"> interests</w:t>
      </w:r>
      <w:r w:rsidRPr="00236079">
        <w:t>;</w:t>
      </w:r>
    </w:p>
    <w:p w:rsidR="007B5620" w:rsidRPr="00236079" w:rsidRDefault="007B5620" w:rsidP="00C4447F">
      <w:pPr>
        <w:spacing w:line="281" w:lineRule="auto"/>
      </w:pPr>
    </w:p>
    <w:p w:rsidR="00233CC3" w:rsidRPr="00236079" w:rsidRDefault="002B6A78" w:rsidP="00C4447F">
      <w:pPr>
        <w:pStyle w:val="ListParagraph"/>
        <w:keepNext/>
        <w:numPr>
          <w:ilvl w:val="0"/>
          <w:numId w:val="12"/>
        </w:numPr>
        <w:spacing w:line="281" w:lineRule="auto"/>
        <w:ind w:left="567" w:hanging="567"/>
        <w:rPr>
          <w:rFonts w:eastAsiaTheme="minorHAnsi"/>
          <w:b/>
          <w:bCs/>
          <w:iCs/>
        </w:rPr>
      </w:pPr>
      <w:r w:rsidRPr="00236079">
        <w:rPr>
          <w:rFonts w:eastAsiaTheme="minorHAnsi"/>
          <w:b/>
          <w:bCs/>
          <w:iCs/>
        </w:rPr>
        <w:t>FINANCING</w:t>
      </w:r>
    </w:p>
    <w:p w:rsidR="00233CC3" w:rsidRPr="00236079" w:rsidRDefault="00233CC3" w:rsidP="00C4447F">
      <w:pPr>
        <w:keepNext/>
        <w:spacing w:line="281" w:lineRule="auto"/>
      </w:pPr>
    </w:p>
    <w:p w:rsidR="006E6091" w:rsidRPr="00236079" w:rsidRDefault="003218E7" w:rsidP="00C4447F">
      <w:pPr>
        <w:keepNext/>
        <w:spacing w:line="281" w:lineRule="auto"/>
        <w:rPr>
          <w:i/>
        </w:rPr>
      </w:pPr>
      <w:r w:rsidRPr="00236079">
        <w:rPr>
          <w:i/>
        </w:rPr>
        <w:t>Supporting the a</w:t>
      </w:r>
      <w:r w:rsidR="005B5D90" w:rsidRPr="00236079">
        <w:rPr>
          <w:i/>
        </w:rPr>
        <w:t>ccess</w:t>
      </w:r>
      <w:r w:rsidRPr="00236079">
        <w:rPr>
          <w:i/>
        </w:rPr>
        <w:t xml:space="preserve"> to</w:t>
      </w:r>
      <w:r w:rsidR="005B5D90" w:rsidRPr="00236079">
        <w:rPr>
          <w:i/>
        </w:rPr>
        <w:t xml:space="preserve"> </w:t>
      </w:r>
      <w:r w:rsidR="00414473" w:rsidRPr="00236079">
        <w:rPr>
          <w:i/>
        </w:rPr>
        <w:t xml:space="preserve">public </w:t>
      </w:r>
      <w:r w:rsidR="005B5D90" w:rsidRPr="00236079">
        <w:rPr>
          <w:i/>
        </w:rPr>
        <w:t>f</w:t>
      </w:r>
      <w:r w:rsidRPr="00236079">
        <w:rPr>
          <w:i/>
        </w:rPr>
        <w:t>inance</w:t>
      </w:r>
    </w:p>
    <w:p w:rsidR="006E6091" w:rsidRPr="00236079" w:rsidRDefault="006E6091" w:rsidP="00C4447F">
      <w:pPr>
        <w:keepNext/>
        <w:spacing w:line="281" w:lineRule="auto"/>
      </w:pPr>
    </w:p>
    <w:p w:rsidR="005B5D90" w:rsidRPr="00236079" w:rsidRDefault="00377136" w:rsidP="00C4447F">
      <w:pPr>
        <w:pStyle w:val="Heading1"/>
        <w:spacing w:line="281" w:lineRule="auto"/>
      </w:pPr>
      <w:r w:rsidRPr="00236079">
        <w:t>w</w:t>
      </w:r>
      <w:r w:rsidR="006E6091" w:rsidRPr="00236079">
        <w:t>elcomes the existing</w:t>
      </w:r>
      <w:r w:rsidR="005B5D90" w:rsidRPr="00236079">
        <w:t xml:space="preserve"> EU financing instruments </w:t>
      </w:r>
      <w:r w:rsidR="006E6091" w:rsidRPr="00236079">
        <w:t xml:space="preserve">to support local and regional climate action </w:t>
      </w:r>
      <w:r w:rsidR="005B5D90" w:rsidRPr="00236079">
        <w:t>(e.g. European Structural and Investment Funds, but also Horizon 2020, LIFE, EU Solidarity Fund, Natural Capital Financing Facility)</w:t>
      </w:r>
      <w:r w:rsidR="006E6091" w:rsidRPr="00236079">
        <w:t>,</w:t>
      </w:r>
      <w:r w:rsidR="005B5D90" w:rsidRPr="00236079">
        <w:t xml:space="preserve"> </w:t>
      </w:r>
      <w:r w:rsidR="006E6091" w:rsidRPr="00236079">
        <w:t xml:space="preserve">but stresses that </w:t>
      </w:r>
      <w:r w:rsidR="005B5D90" w:rsidRPr="00236079">
        <w:t xml:space="preserve">accessing those funds is still the biggest challenge faced by cities and regions. </w:t>
      </w:r>
      <w:r w:rsidRPr="00236079">
        <w:t>Calls</w:t>
      </w:r>
      <w:r w:rsidR="005B5D90" w:rsidRPr="00236079">
        <w:t xml:space="preserve"> therefore on the Commission to provide European local and regional authorities with 1) easily-accessible and understandable information on funds and financial instruments available </w:t>
      </w:r>
      <w:r w:rsidR="006E6091" w:rsidRPr="00236079">
        <w:t xml:space="preserve">for </w:t>
      </w:r>
      <w:r w:rsidR="005B5D90" w:rsidRPr="00236079">
        <w:t>the</w:t>
      </w:r>
      <w:r w:rsidR="00AC042E" w:rsidRPr="00236079">
        <w:t xml:space="preserve"> development and </w:t>
      </w:r>
      <w:r w:rsidR="005B5D90" w:rsidRPr="00236079">
        <w:t>implementation of their action plans and</w:t>
      </w:r>
      <w:r w:rsidR="00AC042E" w:rsidRPr="00236079">
        <w:t xml:space="preserve"> </w:t>
      </w:r>
      <w:r w:rsidR="005B5D90" w:rsidRPr="00236079">
        <w:t xml:space="preserve">2) further guidance and support on how to access and apply the existing instruments, </w:t>
      </w:r>
      <w:r w:rsidR="00AC042E" w:rsidRPr="00236079">
        <w:t>and</w:t>
      </w:r>
      <w:r w:rsidR="005B5D90" w:rsidRPr="00236079">
        <w:t xml:space="preserve"> also possibly combine them (e.g. through </w:t>
      </w:r>
      <w:r w:rsidR="008842C2" w:rsidRPr="00236079">
        <w:t xml:space="preserve">tailor-made </w:t>
      </w:r>
      <w:r w:rsidR="00AC042E" w:rsidRPr="00236079">
        <w:t>training</w:t>
      </w:r>
      <w:r w:rsidR="005B5D90" w:rsidRPr="00236079">
        <w:t>)</w:t>
      </w:r>
      <w:r w:rsidR="0041771F" w:rsidRPr="00236079">
        <w:t>;</w:t>
      </w:r>
      <w:r w:rsidR="008A28C3" w:rsidRPr="00236079">
        <w:t xml:space="preserve"> </w:t>
      </w:r>
    </w:p>
    <w:p w:rsidR="006E6091" w:rsidRPr="00236079" w:rsidRDefault="006E6091" w:rsidP="00C4447F">
      <w:pPr>
        <w:spacing w:line="281" w:lineRule="auto"/>
      </w:pPr>
    </w:p>
    <w:p w:rsidR="006E6091" w:rsidRPr="00236079" w:rsidRDefault="006E6091" w:rsidP="00C4447F">
      <w:pPr>
        <w:pStyle w:val="Heading1"/>
        <w:spacing w:line="281" w:lineRule="auto"/>
        <w:rPr>
          <w:rFonts w:eastAsiaTheme="minorHAnsi"/>
        </w:rPr>
      </w:pPr>
      <w:r w:rsidRPr="00236079">
        <w:rPr>
          <w:rFonts w:eastAsiaTheme="minorHAnsi"/>
        </w:rPr>
        <w:t>recalls its proposal to adopt a "whole lifecycle" approach to assessing costs and benefits of capital to secure long term payback associated with climate-resilient investments. Accounts and risk registers should be required to include the economic, environmental and social implications of action and capital investments that fail to account for the changing climate, or of the no-action option;</w:t>
      </w:r>
    </w:p>
    <w:p w:rsidR="006E6091" w:rsidRPr="00236079" w:rsidRDefault="006E6091" w:rsidP="00C4447F">
      <w:pPr>
        <w:spacing w:line="281" w:lineRule="auto"/>
      </w:pPr>
    </w:p>
    <w:p w:rsidR="005B5D90" w:rsidRPr="00236079" w:rsidRDefault="006E6091" w:rsidP="00C4447F">
      <w:pPr>
        <w:pStyle w:val="Heading1"/>
        <w:spacing w:line="281" w:lineRule="auto"/>
      </w:pPr>
      <w:r w:rsidRPr="00236079">
        <w:t xml:space="preserve">hopes </w:t>
      </w:r>
      <w:r w:rsidR="005B5D90" w:rsidRPr="00236079">
        <w:t xml:space="preserve">that the review </w:t>
      </w:r>
      <w:r w:rsidR="006B45E6" w:rsidRPr="00236079">
        <w:t xml:space="preserve">will </w:t>
      </w:r>
      <w:r w:rsidR="005B5D90" w:rsidRPr="00236079">
        <w:t xml:space="preserve">put more emphasis on the potential role of regions in facilitating access to </w:t>
      </w:r>
      <w:r w:rsidR="00D046BF" w:rsidRPr="00236079">
        <w:t>certain financing schemes.</w:t>
      </w:r>
      <w:r w:rsidR="00D046BF" w:rsidRPr="00236079">
        <w:rPr>
          <w:b/>
        </w:rPr>
        <w:t xml:space="preserve"> </w:t>
      </w:r>
      <w:r w:rsidR="00BD1270" w:rsidRPr="00236079">
        <w:t>Some r</w:t>
      </w:r>
      <w:r w:rsidR="00D046BF" w:rsidRPr="00236079">
        <w:t xml:space="preserve">egions </w:t>
      </w:r>
      <w:r w:rsidR="00BD1270" w:rsidRPr="00236079">
        <w:t>already</w:t>
      </w:r>
      <w:r w:rsidR="00D046BF" w:rsidRPr="00236079">
        <w:t xml:space="preserve"> assist with </w:t>
      </w:r>
      <w:r w:rsidR="008842C2" w:rsidRPr="00236079">
        <w:t>managing</w:t>
      </w:r>
      <w:r w:rsidR="0089560A" w:rsidRPr="00236079">
        <w:t xml:space="preserve"> </w:t>
      </w:r>
      <w:r w:rsidR="00BD1270" w:rsidRPr="00236079">
        <w:t>and</w:t>
      </w:r>
      <w:r w:rsidR="0089560A" w:rsidRPr="00236079">
        <w:t xml:space="preserve"> redistributing</w:t>
      </w:r>
      <w:r w:rsidR="008842C2" w:rsidRPr="00236079">
        <w:t xml:space="preserve"> the EU </w:t>
      </w:r>
      <w:r w:rsidR="006B45E6" w:rsidRPr="00236079">
        <w:t>Structural Funds</w:t>
      </w:r>
      <w:r w:rsidR="008842C2" w:rsidRPr="00236079">
        <w:t xml:space="preserve">, </w:t>
      </w:r>
      <w:r w:rsidR="004D6F48" w:rsidRPr="00236079">
        <w:t>bundling and pooling smaller-scale projects set up by</w:t>
      </w:r>
      <w:r w:rsidR="008842C2" w:rsidRPr="00236079">
        <w:t xml:space="preserve"> municipalities</w:t>
      </w:r>
      <w:r w:rsidR="004D6F48" w:rsidRPr="00236079">
        <w:t xml:space="preserve"> in their territory</w:t>
      </w:r>
      <w:r w:rsidR="00D046BF" w:rsidRPr="00236079">
        <w:t xml:space="preserve">, </w:t>
      </w:r>
      <w:r w:rsidR="008842C2" w:rsidRPr="00236079">
        <w:t>or directly</w:t>
      </w:r>
      <w:r w:rsidR="00AC042E" w:rsidRPr="00236079">
        <w:t xml:space="preserve"> offer financing</w:t>
      </w:r>
      <w:r w:rsidR="005B5D90" w:rsidRPr="00236079">
        <w:t>.</w:t>
      </w:r>
      <w:r w:rsidR="00607D67" w:rsidRPr="00236079">
        <w:t xml:space="preserve"> </w:t>
      </w:r>
      <w:r w:rsidR="003674DA" w:rsidRPr="00236079">
        <w:t>T</w:t>
      </w:r>
      <w:r w:rsidR="008842C2" w:rsidRPr="00236079">
        <w:t xml:space="preserve">he CoR </w:t>
      </w:r>
      <w:r w:rsidR="003674DA" w:rsidRPr="00236079">
        <w:t xml:space="preserve">however </w:t>
      </w:r>
      <w:r w:rsidR="008842C2" w:rsidRPr="00236079">
        <w:t xml:space="preserve">stresses that </w:t>
      </w:r>
      <w:r w:rsidR="00607D67" w:rsidRPr="00236079">
        <w:t>further guidance</w:t>
      </w:r>
      <w:r w:rsidR="008842C2" w:rsidRPr="00236079">
        <w:t xml:space="preserve"> is still</w:t>
      </w:r>
      <w:r w:rsidR="00607D67" w:rsidRPr="00236079">
        <w:t xml:space="preserve"> needed to help </w:t>
      </w:r>
      <w:r w:rsidR="008842C2" w:rsidRPr="00236079">
        <w:t xml:space="preserve">these </w:t>
      </w:r>
      <w:r w:rsidR="00607D67" w:rsidRPr="00236079">
        <w:t xml:space="preserve">managing authorities </w:t>
      </w:r>
      <w:r w:rsidR="003674DA" w:rsidRPr="00236079">
        <w:t>us</w:t>
      </w:r>
      <w:r w:rsidR="004D6F48" w:rsidRPr="00236079">
        <w:t>e</w:t>
      </w:r>
      <w:r w:rsidR="00634FAD" w:rsidRPr="00236079">
        <w:t xml:space="preserve"> the full potential of the available</w:t>
      </w:r>
      <w:r w:rsidR="004D6F48" w:rsidRPr="00236079">
        <w:t xml:space="preserve"> </w:t>
      </w:r>
      <w:r w:rsidR="00D046BF" w:rsidRPr="00236079">
        <w:t xml:space="preserve">European </w:t>
      </w:r>
      <w:r w:rsidR="003674DA" w:rsidRPr="00236079">
        <w:t>funds</w:t>
      </w:r>
      <w:r w:rsidRPr="00236079">
        <w:rPr>
          <w:rFonts w:eastAsiaTheme="minorHAnsi"/>
          <w:bCs/>
          <w:iCs/>
        </w:rPr>
        <w:t xml:space="preserve"> and innovative financial instruments</w:t>
      </w:r>
      <w:r w:rsidR="0041771F" w:rsidRPr="00236079">
        <w:t>;</w:t>
      </w:r>
    </w:p>
    <w:p w:rsidR="00CB0FDE" w:rsidRPr="00236079" w:rsidRDefault="00CB0FDE" w:rsidP="00C4447F">
      <w:pPr>
        <w:spacing w:line="281" w:lineRule="auto"/>
      </w:pPr>
    </w:p>
    <w:p w:rsidR="001F6FE0" w:rsidRPr="00236079" w:rsidRDefault="0041771F" w:rsidP="00C4447F">
      <w:pPr>
        <w:pStyle w:val="Heading1"/>
        <w:spacing w:line="281" w:lineRule="auto"/>
      </w:pPr>
      <w:r w:rsidRPr="00236079">
        <w:t>i</w:t>
      </w:r>
      <w:r w:rsidR="001F6FE0" w:rsidRPr="00236079">
        <w:t>nvites the Commission to explore</w:t>
      </w:r>
      <w:r w:rsidR="00C553AB" w:rsidRPr="00236079">
        <w:t xml:space="preserve"> further</w:t>
      </w:r>
      <w:r w:rsidR="001F6FE0" w:rsidRPr="00236079">
        <w:t xml:space="preserve"> the </w:t>
      </w:r>
      <w:r w:rsidR="00CB0FDE" w:rsidRPr="00236079">
        <w:t xml:space="preserve">idea </w:t>
      </w:r>
      <w:r w:rsidR="001F6FE0" w:rsidRPr="00236079">
        <w:t xml:space="preserve">of </w:t>
      </w:r>
      <w:r w:rsidR="00CB0FDE" w:rsidRPr="00236079">
        <w:t xml:space="preserve">a fast-stream </w:t>
      </w:r>
      <w:r w:rsidR="001F6FE0" w:rsidRPr="00236079">
        <w:t xml:space="preserve">access to financial instruments for </w:t>
      </w:r>
      <w:r w:rsidR="00CB0FDE" w:rsidRPr="00236079">
        <w:t xml:space="preserve">particular </w:t>
      </w:r>
      <w:r w:rsidR="001F6FE0" w:rsidRPr="00236079">
        <w:t>local and regional authorities</w:t>
      </w:r>
      <w:r w:rsidR="00CB0FDE" w:rsidRPr="00236079">
        <w:t>, based on factors</w:t>
      </w:r>
      <w:r w:rsidR="001F6FE0" w:rsidRPr="00236079">
        <w:t xml:space="preserve"> - such as</w:t>
      </w:r>
      <w:r w:rsidR="00CB0FDE" w:rsidRPr="00236079">
        <w:t xml:space="preserve"> being already</w:t>
      </w:r>
      <w:r w:rsidR="001F6FE0" w:rsidRPr="00236079">
        <w:t xml:space="preserve"> publicly committed to </w:t>
      </w:r>
      <w:r w:rsidR="00CB0FDE" w:rsidRPr="00236079">
        <w:t xml:space="preserve">comprehensive </w:t>
      </w:r>
      <w:r w:rsidR="001F6FE0" w:rsidRPr="00236079">
        <w:t>adap</w:t>
      </w:r>
      <w:r w:rsidR="000653CD" w:rsidRPr="00236079">
        <w:t>ta</w:t>
      </w:r>
      <w:r w:rsidR="001F6FE0" w:rsidRPr="00236079">
        <w:t xml:space="preserve">tion (e.g. </w:t>
      </w:r>
      <w:r w:rsidR="00C553AB" w:rsidRPr="00236079">
        <w:t>by</w:t>
      </w:r>
      <w:r w:rsidR="001F6FE0" w:rsidRPr="00236079">
        <w:t xml:space="preserve"> joining the Covenant of Mayors initiative), </w:t>
      </w:r>
      <w:r w:rsidR="00CB0FDE" w:rsidRPr="00236079">
        <w:t xml:space="preserve">having </w:t>
      </w:r>
      <w:r w:rsidR="001F6FE0" w:rsidRPr="00236079">
        <w:t>carried out a comprehensive risk and vulnerability assessment</w:t>
      </w:r>
      <w:r w:rsidR="00CB0FDE" w:rsidRPr="00236079">
        <w:t>, having developed</w:t>
      </w:r>
      <w:r w:rsidR="00017A19" w:rsidRPr="00236079">
        <w:t xml:space="preserve"> </w:t>
      </w:r>
      <w:r w:rsidR="001F6FE0" w:rsidRPr="00236079">
        <w:t xml:space="preserve">an </w:t>
      </w:r>
      <w:r w:rsidR="00C553AB" w:rsidRPr="00236079">
        <w:t xml:space="preserve">adaptation </w:t>
      </w:r>
      <w:r w:rsidR="001F6FE0" w:rsidRPr="00236079">
        <w:t xml:space="preserve">action plan. </w:t>
      </w:r>
      <w:r w:rsidR="000C603F" w:rsidRPr="00236079">
        <w:t>The revision of</w:t>
      </w:r>
      <w:r w:rsidR="001F6FE0" w:rsidRPr="00236079">
        <w:t xml:space="preserve"> the pre-conditions for access to certain funds or the selection and award criteria for grants under the different programmes (i.e. H2020 and LIFE) </w:t>
      </w:r>
      <w:r w:rsidR="00C553AB" w:rsidRPr="00236079">
        <w:t>by the Commission</w:t>
      </w:r>
      <w:r w:rsidR="000C603F" w:rsidRPr="00236079">
        <w:t xml:space="preserve"> </w:t>
      </w:r>
      <w:r w:rsidR="00E94C10" w:rsidRPr="00236079">
        <w:t xml:space="preserve">could enable and foster such </w:t>
      </w:r>
      <w:r w:rsidR="006200C2" w:rsidRPr="00236079">
        <w:t>"</w:t>
      </w:r>
      <w:r w:rsidR="000C603F" w:rsidRPr="00236079">
        <w:t>fast-track access</w:t>
      </w:r>
      <w:r w:rsidR="006200C2" w:rsidRPr="00236079">
        <w:t>"</w:t>
      </w:r>
      <w:r w:rsidR="00CB0FDE" w:rsidRPr="00236079">
        <w:t>.</w:t>
      </w:r>
      <w:r w:rsidR="00CE0286" w:rsidRPr="00236079">
        <w:t xml:space="preserve"> </w:t>
      </w:r>
      <w:r w:rsidR="00CB0FDE" w:rsidRPr="00236079">
        <w:t>This course should also be explored more resolutely under the European Structural and Investment Funds, with the recommendation that all management authorities take up the option already contained in some regional operational programmes of prioritising initiatives in sustainable energy action plans (SEAPs) and sustainable energy and climate action plans (SECAPs) adopted by municipalities participating in the Covenant of Mayors</w:t>
      </w:r>
      <w:r w:rsidRPr="00236079">
        <w:t>;</w:t>
      </w:r>
    </w:p>
    <w:p w:rsidR="005762C5" w:rsidRPr="00236079" w:rsidRDefault="005762C5" w:rsidP="00C4447F">
      <w:pPr>
        <w:spacing w:line="281" w:lineRule="auto"/>
        <w:rPr>
          <w:rFonts w:eastAsiaTheme="minorHAnsi"/>
          <w:b/>
          <w:bCs/>
          <w:iCs/>
        </w:rPr>
      </w:pPr>
    </w:p>
    <w:p w:rsidR="005762C5" w:rsidRPr="00236079" w:rsidRDefault="005762C5" w:rsidP="00C4447F">
      <w:pPr>
        <w:keepNext/>
        <w:spacing w:line="281" w:lineRule="auto"/>
        <w:rPr>
          <w:rFonts w:eastAsiaTheme="minorHAnsi"/>
          <w:bCs/>
          <w:i/>
          <w:iCs/>
        </w:rPr>
      </w:pPr>
      <w:r w:rsidRPr="00236079">
        <w:rPr>
          <w:rFonts w:eastAsiaTheme="minorHAnsi"/>
          <w:bCs/>
          <w:i/>
          <w:iCs/>
        </w:rPr>
        <w:t>Fine-tuning existing financing instruments</w:t>
      </w:r>
    </w:p>
    <w:p w:rsidR="005762C5" w:rsidRPr="00236079" w:rsidRDefault="005762C5" w:rsidP="00C4447F">
      <w:pPr>
        <w:keepNext/>
        <w:spacing w:line="281" w:lineRule="auto"/>
      </w:pPr>
    </w:p>
    <w:p w:rsidR="005762C5" w:rsidRPr="00236079" w:rsidRDefault="009D32BE" w:rsidP="00C4447F">
      <w:pPr>
        <w:pStyle w:val="Heading1"/>
        <w:spacing w:line="281" w:lineRule="auto"/>
      </w:pPr>
      <w:r w:rsidRPr="00236079">
        <w:t>w</w:t>
      </w:r>
      <w:r w:rsidR="005762C5" w:rsidRPr="00236079">
        <w:t>elcomes the European Commission</w:t>
      </w:r>
      <w:r w:rsidR="00CF122B" w:rsidRPr="00236079">
        <w:t>'</w:t>
      </w:r>
      <w:r w:rsidR="005762C5" w:rsidRPr="00236079">
        <w:t>s initiative – in the preparation of the next Multiannual Financial Framework (MFF) – to take stock of the progress in implementing the various EU funds as well as using grants and other financial instruments (e.g. lessons from the LIFE programme and the mainstreaming of climate action into ESI Funds). This should help to 1) propose the right mix of both mainstreamed and more adaptation-specific financing instruments without reducing the necessary budgetary resources for climate change mitigation, and 2) draw recommendations for the upcoming calls for projects (e.g. under the LIFE and H2020 programmes) – thus filling in the remaining gaps for financing local climate adaptation action;</w:t>
      </w:r>
    </w:p>
    <w:p w:rsidR="00173543" w:rsidRPr="00236079" w:rsidDel="005762C5" w:rsidRDefault="00173543" w:rsidP="00C4447F">
      <w:pPr>
        <w:spacing w:line="281" w:lineRule="auto"/>
      </w:pPr>
    </w:p>
    <w:p w:rsidR="005762C5" w:rsidRPr="00236079" w:rsidRDefault="009D32BE" w:rsidP="00C4447F">
      <w:pPr>
        <w:pStyle w:val="Heading1"/>
        <w:spacing w:line="281" w:lineRule="auto"/>
      </w:pPr>
      <w:r w:rsidRPr="00236079">
        <w:rPr>
          <w:rFonts w:eastAsiaTheme="minorHAnsi"/>
        </w:rPr>
        <w:t>u</w:t>
      </w:r>
      <w:r w:rsidR="00173543" w:rsidRPr="00236079" w:rsidDel="005762C5">
        <w:rPr>
          <w:rFonts w:eastAsiaTheme="minorHAnsi"/>
        </w:rPr>
        <w:t>nderlines that the LIFE programme – and more specifically the LIFE Climate Action Integrated Projects (IPs) – is considered by cities and regions as one of the key financial tools to test, pilot and demonstrate adaptation actions through a cross-sectoral approach and at a large territorial scale (regional, multi-regional, national or transnational), and therefore highly encourages the Commission to extend and further support it</w:t>
      </w:r>
      <w:r w:rsidR="00416C58" w:rsidRPr="00236079">
        <w:rPr>
          <w:rFonts w:eastAsiaTheme="minorHAnsi"/>
        </w:rPr>
        <w:t>;</w:t>
      </w:r>
    </w:p>
    <w:p w:rsidR="005762C5" w:rsidRPr="00236079" w:rsidRDefault="005762C5" w:rsidP="00C4447F">
      <w:pPr>
        <w:spacing w:line="281" w:lineRule="auto"/>
      </w:pPr>
    </w:p>
    <w:p w:rsidR="005B5D90" w:rsidRPr="00236079" w:rsidRDefault="005B5D90" w:rsidP="00C4447F">
      <w:pPr>
        <w:keepNext/>
        <w:spacing w:line="281" w:lineRule="auto"/>
        <w:rPr>
          <w:i/>
        </w:rPr>
      </w:pPr>
      <w:r w:rsidRPr="00236079">
        <w:rPr>
          <w:i/>
        </w:rPr>
        <w:t>Fostering</w:t>
      </w:r>
      <w:r w:rsidR="00FC251C" w:rsidRPr="00236079">
        <w:rPr>
          <w:i/>
        </w:rPr>
        <w:t xml:space="preserve"> </w:t>
      </w:r>
      <w:r w:rsidRPr="00236079">
        <w:rPr>
          <w:i/>
        </w:rPr>
        <w:t>investments</w:t>
      </w:r>
    </w:p>
    <w:p w:rsidR="00D86201" w:rsidRPr="00236079" w:rsidRDefault="00D86201" w:rsidP="00C4447F">
      <w:pPr>
        <w:keepNext/>
        <w:spacing w:line="281" w:lineRule="auto"/>
      </w:pPr>
    </w:p>
    <w:p w:rsidR="001F6FE0" w:rsidRPr="00236079" w:rsidRDefault="0041771F" w:rsidP="00C4447F">
      <w:pPr>
        <w:pStyle w:val="Heading1"/>
        <w:spacing w:line="281" w:lineRule="auto"/>
      </w:pPr>
      <w:r w:rsidRPr="00236079">
        <w:t>a</w:t>
      </w:r>
      <w:r w:rsidR="001F6FE0" w:rsidRPr="00236079">
        <w:t xml:space="preserve">cknowledges that </w:t>
      </w:r>
      <w:r w:rsidR="00D86201" w:rsidRPr="00236079">
        <w:t xml:space="preserve">many </w:t>
      </w:r>
      <w:r w:rsidR="001F6FE0" w:rsidRPr="00236079">
        <w:t xml:space="preserve">European cities and regions have vast untapped potential </w:t>
      </w:r>
      <w:r w:rsidR="00D86201" w:rsidRPr="00236079">
        <w:t xml:space="preserve">to attract more investment </w:t>
      </w:r>
      <w:r w:rsidR="001F6FE0" w:rsidRPr="00236079">
        <w:t xml:space="preserve">and  many </w:t>
      </w:r>
      <w:r w:rsidR="00D86201" w:rsidRPr="00236079">
        <w:t xml:space="preserve">of them also face serious </w:t>
      </w:r>
      <w:r w:rsidR="001F6FE0" w:rsidRPr="00236079">
        <w:t xml:space="preserve">obstacles in </w:t>
      </w:r>
      <w:r w:rsidR="00744376" w:rsidRPr="00236079">
        <w:t>rolling out</w:t>
      </w:r>
      <w:r w:rsidR="00D86201" w:rsidRPr="00236079">
        <w:t xml:space="preserve"> their own</w:t>
      </w:r>
      <w:r w:rsidR="00744376" w:rsidRPr="00236079">
        <w:t xml:space="preserve"> investments</w:t>
      </w:r>
      <w:r w:rsidRPr="00236079">
        <w:t>;</w:t>
      </w:r>
    </w:p>
    <w:p w:rsidR="006672CB" w:rsidRPr="00236079" w:rsidRDefault="006672CB" w:rsidP="00C4447F">
      <w:pPr>
        <w:spacing w:line="281" w:lineRule="auto"/>
      </w:pPr>
    </w:p>
    <w:p w:rsidR="005B5D90" w:rsidRPr="00236079" w:rsidRDefault="0041771F" w:rsidP="00C4447F">
      <w:pPr>
        <w:pStyle w:val="Heading1"/>
        <w:spacing w:line="281" w:lineRule="auto"/>
      </w:pPr>
      <w:r w:rsidRPr="00236079">
        <w:t>c</w:t>
      </w:r>
      <w:r w:rsidR="005B5D90" w:rsidRPr="00236079">
        <w:t>onsiders that the Commission shall</w:t>
      </w:r>
      <w:r w:rsidR="001F6FE0" w:rsidRPr="00236079">
        <w:t xml:space="preserve"> therefore</w:t>
      </w:r>
      <w:r w:rsidR="005B5D90" w:rsidRPr="00236079">
        <w:t xml:space="preserve"> continue exploring innovative ways to channel investments for adaptation actions to local and regional authorities </w:t>
      </w:r>
      <w:r w:rsidR="006672CB" w:rsidRPr="00236079">
        <w:rPr>
          <w:rFonts w:eastAsiaTheme="minorHAnsi"/>
          <w:bCs/>
          <w:iCs/>
        </w:rPr>
        <w:t xml:space="preserve">and calls on the Commission to provide them with appropriate expert advice, guidance and support in preparing viable investments (e.g. through the European Investment Advisory Hub or other targeted capacity-building activities) and securing financing. </w:t>
      </w:r>
      <w:r w:rsidR="005B5D90" w:rsidRPr="00236079">
        <w:t>The review could provide examples of mechanisms to deal with private investors and cooperate with insurance companies –</w:t>
      </w:r>
      <w:r w:rsidR="0037245D" w:rsidRPr="00236079">
        <w:t xml:space="preserve"> </w:t>
      </w:r>
      <w:r w:rsidR="005B5D90" w:rsidRPr="00236079">
        <w:t>and the Commission shall further support pilot initiatives</w:t>
      </w:r>
      <w:r w:rsidR="000C1405" w:rsidRPr="00236079">
        <w:t xml:space="preserve"> </w:t>
      </w:r>
      <w:r w:rsidR="00900F01" w:rsidRPr="00236079">
        <w:t xml:space="preserve">going </w:t>
      </w:r>
      <w:r w:rsidR="000C1405" w:rsidRPr="00236079">
        <w:t>in this direction</w:t>
      </w:r>
      <w:r w:rsidRPr="00236079">
        <w:t>;</w:t>
      </w:r>
    </w:p>
    <w:p w:rsidR="006672CB" w:rsidRPr="00236079" w:rsidRDefault="006672CB" w:rsidP="00C4447F">
      <w:pPr>
        <w:spacing w:line="281" w:lineRule="auto"/>
        <w:rPr>
          <w:rFonts w:eastAsiaTheme="minorHAnsi"/>
          <w:b/>
          <w:bCs/>
          <w:iCs/>
        </w:rPr>
      </w:pPr>
    </w:p>
    <w:p w:rsidR="006672CB" w:rsidRPr="00236079" w:rsidRDefault="006672CB" w:rsidP="00C4447F">
      <w:pPr>
        <w:keepNext/>
        <w:spacing w:line="281" w:lineRule="auto"/>
        <w:rPr>
          <w:rFonts w:eastAsiaTheme="minorHAnsi"/>
          <w:i/>
        </w:rPr>
      </w:pPr>
      <w:r w:rsidRPr="00236079">
        <w:rPr>
          <w:rFonts w:eastAsiaTheme="minorHAnsi"/>
          <w:bCs/>
          <w:i/>
          <w:iCs/>
        </w:rPr>
        <w:t>Blending and mixing public and private funds</w:t>
      </w:r>
      <w:r w:rsidRPr="00236079">
        <w:rPr>
          <w:rFonts w:eastAsiaTheme="minorHAnsi"/>
          <w:i/>
        </w:rPr>
        <w:t xml:space="preserve"> </w:t>
      </w:r>
    </w:p>
    <w:p w:rsidR="006672CB" w:rsidRPr="00236079" w:rsidRDefault="006672CB" w:rsidP="00C4447F">
      <w:pPr>
        <w:keepNext/>
        <w:spacing w:line="281" w:lineRule="auto"/>
      </w:pPr>
    </w:p>
    <w:p w:rsidR="006672CB" w:rsidRPr="00236079" w:rsidRDefault="009D32BE" w:rsidP="00C4447F">
      <w:pPr>
        <w:pStyle w:val="Heading1"/>
        <w:spacing w:line="281" w:lineRule="auto"/>
        <w:rPr>
          <w:rFonts w:eastAsiaTheme="minorHAnsi"/>
        </w:rPr>
      </w:pPr>
      <w:r w:rsidRPr="00236079">
        <w:rPr>
          <w:rFonts w:eastAsiaTheme="minorHAnsi"/>
        </w:rPr>
        <w:t>u</w:t>
      </w:r>
      <w:r w:rsidR="006672CB" w:rsidRPr="00236079">
        <w:rPr>
          <w:rFonts w:eastAsiaTheme="minorHAnsi"/>
        </w:rPr>
        <w:t>nderlines that cities and regions should be helped to find the combination of public and private funds– from international, European, national and local sources – which is the most appropriate in their local circumstances to finance adaptation action. As highlighted in the mid-term review of the MFF 2014-2020, the Commission shall further look into ways to address the remaining investment needs by pooling EU, national and private funding</w:t>
      </w:r>
      <w:r w:rsidR="00416C58" w:rsidRPr="00236079">
        <w:rPr>
          <w:rFonts w:eastAsiaTheme="minorHAnsi"/>
        </w:rPr>
        <w:t>;</w:t>
      </w:r>
      <w:r w:rsidR="006672CB" w:rsidRPr="00236079">
        <w:rPr>
          <w:rFonts w:eastAsiaTheme="minorHAnsi"/>
        </w:rPr>
        <w:t xml:space="preserve"> </w:t>
      </w:r>
    </w:p>
    <w:p w:rsidR="006672CB" w:rsidRPr="00236079" w:rsidRDefault="006672CB" w:rsidP="00C4447F">
      <w:pPr>
        <w:spacing w:line="281" w:lineRule="auto"/>
        <w:rPr>
          <w:rFonts w:eastAsiaTheme="minorHAnsi"/>
          <w:b/>
          <w:bCs/>
          <w:iCs/>
        </w:rPr>
      </w:pPr>
    </w:p>
    <w:p w:rsidR="006672CB" w:rsidRPr="00236079" w:rsidRDefault="006672CB" w:rsidP="00C4447F">
      <w:pPr>
        <w:pStyle w:val="ListParagraph"/>
        <w:keepNext/>
        <w:numPr>
          <w:ilvl w:val="0"/>
          <w:numId w:val="12"/>
        </w:numPr>
        <w:spacing w:line="281" w:lineRule="auto"/>
        <w:ind w:left="567" w:hanging="567"/>
        <w:rPr>
          <w:rFonts w:eastAsiaTheme="minorHAnsi"/>
          <w:b/>
          <w:bCs/>
          <w:iCs/>
        </w:rPr>
      </w:pPr>
      <w:r w:rsidRPr="00236079">
        <w:rPr>
          <w:rFonts w:eastAsiaTheme="minorHAnsi"/>
          <w:b/>
          <w:bCs/>
          <w:iCs/>
        </w:rPr>
        <w:t xml:space="preserve">EMBARKING on the international stage </w:t>
      </w:r>
    </w:p>
    <w:p w:rsidR="006672CB" w:rsidRPr="00236079" w:rsidRDefault="006672CB" w:rsidP="00C4447F">
      <w:pPr>
        <w:keepNext/>
        <w:spacing w:line="281" w:lineRule="auto"/>
      </w:pPr>
    </w:p>
    <w:p w:rsidR="006672CB" w:rsidRPr="00236079" w:rsidRDefault="006672CB" w:rsidP="00C4447F">
      <w:pPr>
        <w:keepNext/>
        <w:spacing w:line="281" w:lineRule="auto"/>
        <w:rPr>
          <w:rFonts w:eastAsiaTheme="minorHAnsi"/>
          <w:i/>
        </w:rPr>
      </w:pPr>
      <w:r w:rsidRPr="00236079">
        <w:rPr>
          <w:rFonts w:eastAsiaTheme="minorHAnsi"/>
          <w:bCs/>
          <w:i/>
          <w:iCs/>
        </w:rPr>
        <w:t>An international challenge calling for an international response</w:t>
      </w:r>
      <w:r w:rsidRPr="00236079">
        <w:rPr>
          <w:rFonts w:eastAsiaTheme="minorHAnsi"/>
          <w:i/>
        </w:rPr>
        <w:t xml:space="preserve"> </w:t>
      </w:r>
    </w:p>
    <w:p w:rsidR="00B178F5" w:rsidRPr="00236079" w:rsidRDefault="00B178F5" w:rsidP="00C4447F">
      <w:pPr>
        <w:keepNext/>
        <w:spacing w:line="281" w:lineRule="auto"/>
      </w:pPr>
    </w:p>
    <w:p w:rsidR="006672CB" w:rsidRPr="00236079" w:rsidRDefault="009D32BE" w:rsidP="00C4447F">
      <w:pPr>
        <w:pStyle w:val="Heading1"/>
        <w:spacing w:line="281" w:lineRule="auto"/>
        <w:rPr>
          <w:rFonts w:eastAsiaTheme="minorHAnsi"/>
        </w:rPr>
      </w:pPr>
      <w:r w:rsidRPr="00236079">
        <w:rPr>
          <w:rFonts w:eastAsiaTheme="minorHAnsi"/>
        </w:rPr>
        <w:t>a</w:t>
      </w:r>
      <w:r w:rsidR="006672CB" w:rsidRPr="00236079">
        <w:rPr>
          <w:rFonts w:eastAsiaTheme="minorHAnsi"/>
        </w:rPr>
        <w:t>cknowledges that, over the last years, the international dialogue on climate issues has intensified and led to new international agreements – such as the Sendai Framework for Disaster Risk Reduction 2015-2030, the 2030 Agenda for Sustainable Development and the Paris Agreement on Climate Change – and therefore invites the Commission to embed its action further in these global frameworks, reinforce its exemplary role as well as help to build synergies between them</w:t>
      </w:r>
      <w:r w:rsidR="00416C58" w:rsidRPr="00236079">
        <w:rPr>
          <w:rFonts w:eastAsiaTheme="minorHAnsi"/>
        </w:rPr>
        <w:t>;</w:t>
      </w:r>
      <w:r w:rsidR="006672CB" w:rsidRPr="00236079">
        <w:rPr>
          <w:rFonts w:eastAsiaTheme="minorHAnsi"/>
        </w:rPr>
        <w:t xml:space="preserve"> </w:t>
      </w:r>
    </w:p>
    <w:p w:rsidR="006672CB" w:rsidRPr="00236079" w:rsidRDefault="006672CB" w:rsidP="00C4447F">
      <w:pPr>
        <w:spacing w:line="281" w:lineRule="auto"/>
        <w:rPr>
          <w:rFonts w:eastAsiaTheme="minorHAnsi"/>
        </w:rPr>
      </w:pPr>
    </w:p>
    <w:p w:rsidR="006672CB" w:rsidRPr="00236079" w:rsidRDefault="009D32BE" w:rsidP="00C4447F">
      <w:pPr>
        <w:pStyle w:val="Heading1"/>
        <w:spacing w:line="281" w:lineRule="auto"/>
      </w:pPr>
      <w:r w:rsidRPr="00236079">
        <w:t>u</w:t>
      </w:r>
      <w:r w:rsidR="006672CB" w:rsidRPr="00236079">
        <w:t>nderlines that the review shall better reflect on the trans-boundary aspect of the climate risk management issue. In this regard, macro-regional cooperation appears as a relevant approach to advance EU climate change adaptation by fostering information exchanges and pooling efforts across administrative borders. Hence the Commission shall consider extending and further supporting its pilot transnational initiatives - such as the ones in the Danube, Baltic Sea, Alpine, Adriatic and Ionian Regions - to other macro-regions in Europe and beyond</w:t>
      </w:r>
      <w:r w:rsidR="00416C58" w:rsidRPr="00236079">
        <w:t>;</w:t>
      </w:r>
    </w:p>
    <w:p w:rsidR="006672CB" w:rsidRPr="00236079" w:rsidRDefault="006672CB" w:rsidP="00C4447F">
      <w:pPr>
        <w:spacing w:line="281" w:lineRule="auto"/>
      </w:pPr>
    </w:p>
    <w:p w:rsidR="006672CB" w:rsidRPr="00236079" w:rsidRDefault="009D32BE" w:rsidP="00C4447F">
      <w:pPr>
        <w:pStyle w:val="Heading1"/>
        <w:spacing w:line="281" w:lineRule="auto"/>
      </w:pPr>
      <w:r w:rsidRPr="00236079">
        <w:t>i</w:t>
      </w:r>
      <w:r w:rsidR="006672CB" w:rsidRPr="00236079">
        <w:t>nvites the Commission to put more emphasis on the benefits of region-to-region (and city-to-city) cooperation. In this regard, the new Global Covenant of Mayors for Climate and Energy shall provide other regions in the world with new opportunities to tap into the European experience and examples, but also offer European local and regional authorities the chance to learn from their peers in other continents</w:t>
      </w:r>
      <w:r w:rsidR="00416C58" w:rsidRPr="00236079">
        <w:t>;</w:t>
      </w:r>
    </w:p>
    <w:p w:rsidR="006672CB" w:rsidRPr="00236079" w:rsidRDefault="006672CB" w:rsidP="00C4447F">
      <w:pPr>
        <w:spacing w:line="281" w:lineRule="auto"/>
      </w:pPr>
    </w:p>
    <w:p w:rsidR="006672CB" w:rsidRPr="00236079" w:rsidRDefault="009D32BE" w:rsidP="00C4447F">
      <w:pPr>
        <w:pStyle w:val="Heading1"/>
        <w:spacing w:line="281" w:lineRule="auto"/>
      </w:pPr>
      <w:r w:rsidRPr="00236079">
        <w:t>p</w:t>
      </w:r>
      <w:r w:rsidR="006672CB" w:rsidRPr="00236079">
        <w:t>oints out that – considering the recent UNFCCC predictions for future migration flows – the review shall elaborate on the link between climate change adaptation and migration and therefore integrate a new chapter on the challenges and opportunities posed by climate-induced migration. In this regard, the Commission shall explore ways of supporting further cities and regions in facing the mobility and possibly the integration of migrants and refugees.</w:t>
      </w:r>
    </w:p>
    <w:p w:rsidR="006672CB" w:rsidRPr="00236079" w:rsidRDefault="006672CB" w:rsidP="00C4447F">
      <w:pPr>
        <w:spacing w:line="281" w:lineRule="auto"/>
      </w:pPr>
    </w:p>
    <w:p w:rsidR="00697DC3" w:rsidRPr="00236079" w:rsidRDefault="006078AE" w:rsidP="00C4447F">
      <w:pPr>
        <w:pStyle w:val="Heading1"/>
        <w:spacing w:line="281" w:lineRule="auto"/>
      </w:pPr>
      <w:r w:rsidRPr="00236079">
        <w:t xml:space="preserve">In </w:t>
      </w:r>
      <w:r w:rsidR="008C72ED" w:rsidRPr="00236079">
        <w:t>conclusion</w:t>
      </w:r>
      <w:r w:rsidR="00B27A77" w:rsidRPr="00236079">
        <w:t xml:space="preserve">, the Committee of the Regions would like to express its </w:t>
      </w:r>
      <w:r w:rsidR="00B506B2" w:rsidRPr="00236079">
        <w:t>eagerness</w:t>
      </w:r>
      <w:r w:rsidR="00B27A77" w:rsidRPr="00236079">
        <w:t xml:space="preserve"> to take part in the stakeholder consultation process</w:t>
      </w:r>
      <w:r w:rsidR="00B506B2" w:rsidRPr="00236079">
        <w:t xml:space="preserve"> on the review of the SACC</w:t>
      </w:r>
      <w:r w:rsidR="00B27A77" w:rsidRPr="00236079">
        <w:t xml:space="preserve"> to be conducted by the European Commission in early 2017</w:t>
      </w:r>
      <w:r w:rsidR="00B506B2" w:rsidRPr="00236079">
        <w:t xml:space="preserve"> and considers</w:t>
      </w:r>
      <w:r w:rsidR="00B27A77" w:rsidRPr="00236079">
        <w:t xml:space="preserve"> the recommendations included in the present opinion – but also in other opinions on adaptation-related topics</w:t>
      </w:r>
      <w:r w:rsidR="006672CB" w:rsidRPr="00236079">
        <w:rPr>
          <w:rStyle w:val="FootnoteReference"/>
        </w:rPr>
        <w:footnoteReference w:id="1"/>
      </w:r>
      <w:r w:rsidR="00B27A77" w:rsidRPr="00236079">
        <w:t xml:space="preserve"> </w:t>
      </w:r>
      <w:r w:rsidR="0037245D" w:rsidRPr="00236079">
        <w:t xml:space="preserve">– </w:t>
      </w:r>
      <w:r w:rsidR="00B506B2" w:rsidRPr="00236079">
        <w:t>as a good basis for the exchange to come</w:t>
      </w:r>
      <w:r w:rsidRPr="00236079">
        <w:t>.</w:t>
      </w:r>
    </w:p>
    <w:p w:rsidR="005B5D90" w:rsidRPr="00236079" w:rsidRDefault="005B5D90" w:rsidP="00C4447F">
      <w:pPr>
        <w:spacing w:line="281" w:lineRule="auto"/>
      </w:pPr>
    </w:p>
    <w:p w:rsidR="004C5503" w:rsidRPr="00236079" w:rsidRDefault="004C5503" w:rsidP="00C4447F">
      <w:pPr>
        <w:spacing w:line="281" w:lineRule="auto"/>
      </w:pPr>
      <w:r w:rsidRPr="00236079">
        <w:t>Brussels, 9 February 2017</w:t>
      </w:r>
    </w:p>
    <w:p w:rsidR="004C5503" w:rsidRPr="00236079" w:rsidRDefault="004C5503" w:rsidP="00C4447F">
      <w:pPr>
        <w:spacing w:line="281" w:lineRule="auto"/>
        <w:rPr>
          <w:b/>
        </w:rPr>
      </w:pPr>
    </w:p>
    <w:tbl>
      <w:tblPr>
        <w:tblW w:w="0" w:type="auto"/>
        <w:tblLayout w:type="fixed"/>
        <w:tblLook w:val="0000" w:firstRow="0" w:lastRow="0" w:firstColumn="0" w:lastColumn="0" w:noHBand="0" w:noVBand="0"/>
      </w:tblPr>
      <w:tblGrid>
        <w:gridCol w:w="4621"/>
        <w:gridCol w:w="4622"/>
      </w:tblGrid>
      <w:tr w:rsidR="004C5503" w:rsidRPr="00236079" w:rsidTr="0060492A">
        <w:trPr>
          <w:cantSplit/>
        </w:trPr>
        <w:tc>
          <w:tcPr>
            <w:tcW w:w="4621" w:type="dxa"/>
          </w:tcPr>
          <w:p w:rsidR="004C5503" w:rsidRPr="00236079" w:rsidRDefault="004C5503" w:rsidP="00C4447F">
            <w:pPr>
              <w:spacing w:line="281" w:lineRule="auto"/>
              <w:jc w:val="center"/>
            </w:pPr>
            <w:r w:rsidRPr="00236079">
              <w:t>The President</w:t>
            </w:r>
            <w:r w:rsidRPr="00236079">
              <w:br/>
              <w:t>of the European Committee of the Regions</w:t>
            </w:r>
            <w:r w:rsidRPr="00236079">
              <w:br/>
            </w:r>
            <w:r w:rsidRPr="00236079">
              <w:br/>
            </w:r>
            <w:r w:rsidRPr="00236079">
              <w:br/>
            </w:r>
            <w:r w:rsidRPr="00236079">
              <w:br/>
            </w:r>
            <w:r w:rsidRPr="00236079">
              <w:br/>
              <w:t xml:space="preserve">Markku Markkula </w:t>
            </w:r>
          </w:p>
        </w:tc>
        <w:tc>
          <w:tcPr>
            <w:tcW w:w="4622" w:type="dxa"/>
          </w:tcPr>
          <w:p w:rsidR="004C5503" w:rsidRPr="00236079" w:rsidRDefault="004C5503" w:rsidP="00C4447F">
            <w:pPr>
              <w:spacing w:line="281" w:lineRule="auto"/>
              <w:jc w:val="center"/>
            </w:pPr>
          </w:p>
        </w:tc>
      </w:tr>
      <w:tr w:rsidR="004C5503" w:rsidRPr="00236079" w:rsidTr="0060492A">
        <w:trPr>
          <w:cantSplit/>
        </w:trPr>
        <w:tc>
          <w:tcPr>
            <w:tcW w:w="4621" w:type="dxa"/>
          </w:tcPr>
          <w:p w:rsidR="004C5503" w:rsidRPr="00236079" w:rsidRDefault="004C5503" w:rsidP="00C4447F">
            <w:pPr>
              <w:spacing w:line="281" w:lineRule="auto"/>
              <w:jc w:val="center"/>
            </w:pPr>
          </w:p>
        </w:tc>
        <w:tc>
          <w:tcPr>
            <w:tcW w:w="4622" w:type="dxa"/>
          </w:tcPr>
          <w:p w:rsidR="004C5503" w:rsidRPr="00236079" w:rsidRDefault="004C5503" w:rsidP="00C4447F">
            <w:pPr>
              <w:spacing w:line="281" w:lineRule="auto"/>
              <w:jc w:val="center"/>
            </w:pPr>
            <w:r w:rsidRPr="00236079">
              <w:t>The Secretary-General</w:t>
            </w:r>
            <w:r w:rsidRPr="00236079">
              <w:br/>
              <w:t>of the European Committee of the Regions</w:t>
            </w:r>
            <w:r w:rsidRPr="00236079">
              <w:br/>
            </w:r>
            <w:r w:rsidRPr="00236079">
              <w:br/>
            </w:r>
            <w:r w:rsidRPr="00236079">
              <w:br/>
            </w:r>
            <w:r w:rsidRPr="00236079">
              <w:br/>
            </w:r>
            <w:r w:rsidRPr="00236079">
              <w:br/>
              <w:t xml:space="preserve">Jiří Buriánek </w:t>
            </w:r>
          </w:p>
        </w:tc>
      </w:tr>
    </w:tbl>
    <w:p w:rsidR="0037245D" w:rsidRPr="00236079" w:rsidRDefault="0037245D" w:rsidP="00C4447F">
      <w:pPr>
        <w:spacing w:line="281" w:lineRule="auto"/>
      </w:pPr>
      <w:r w:rsidRPr="00236079">
        <w:br w:type="page"/>
      </w:r>
    </w:p>
    <w:p w:rsidR="00BF4173" w:rsidRPr="00236079" w:rsidRDefault="00BB334F" w:rsidP="00152262">
      <w:pPr>
        <w:numPr>
          <w:ilvl w:val="0"/>
          <w:numId w:val="2"/>
        </w:numPr>
        <w:tabs>
          <w:tab w:val="clear" w:pos="0"/>
        </w:tabs>
        <w:overflowPunct w:val="0"/>
        <w:autoSpaceDE w:val="0"/>
        <w:autoSpaceDN w:val="0"/>
        <w:adjustRightInd w:val="0"/>
        <w:ind w:left="567" w:hanging="567"/>
        <w:textAlignment w:val="baseline"/>
        <w:rPr>
          <w:b/>
        </w:rPr>
      </w:pPr>
      <w:r w:rsidRPr="00236079">
        <w:rPr>
          <w:b/>
        </w:rPr>
        <w:t>PROCEDURE</w:t>
      </w:r>
    </w:p>
    <w:p w:rsidR="00BB334F" w:rsidRPr="00236079" w:rsidRDefault="00BB334F" w:rsidP="0015226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1"/>
        <w:gridCol w:w="5938"/>
      </w:tblGrid>
      <w:tr w:rsidR="00BB334F" w:rsidRPr="00236079" w:rsidTr="00152262">
        <w:tc>
          <w:tcPr>
            <w:tcW w:w="3351" w:type="dxa"/>
            <w:noWrap/>
          </w:tcPr>
          <w:p w:rsidR="00BB334F" w:rsidRPr="00236079" w:rsidRDefault="00BB334F" w:rsidP="00292877">
            <w:pPr>
              <w:rPr>
                <w:b/>
              </w:rPr>
            </w:pPr>
            <w:r w:rsidRPr="00236079">
              <w:rPr>
                <w:b/>
              </w:rPr>
              <w:t>Title</w:t>
            </w:r>
          </w:p>
          <w:p w:rsidR="00BB334F" w:rsidRPr="00236079" w:rsidRDefault="00BB334F">
            <w:pPr>
              <w:rPr>
                <w:b/>
                <w:lang w:eastAsia="en-GB" w:bidi="en-GB"/>
              </w:rPr>
            </w:pPr>
          </w:p>
        </w:tc>
        <w:tc>
          <w:tcPr>
            <w:tcW w:w="5938" w:type="dxa"/>
            <w:noWrap/>
          </w:tcPr>
          <w:p w:rsidR="00BB334F" w:rsidRPr="00236079" w:rsidRDefault="00BB334F">
            <w:pPr>
              <w:rPr>
                <w:lang w:eastAsia="en-GB" w:bidi="en-GB"/>
              </w:rPr>
            </w:pPr>
            <w:r w:rsidRPr="00236079">
              <w:rPr>
                <w:lang w:eastAsia="en-GB" w:bidi="en-GB"/>
              </w:rPr>
              <w:t>Towards a new EU climate change adaptation strategy - taking an integrated approach</w:t>
            </w:r>
          </w:p>
        </w:tc>
      </w:tr>
      <w:tr w:rsidR="000C6F58" w:rsidRPr="00236079" w:rsidTr="00152262">
        <w:tc>
          <w:tcPr>
            <w:tcW w:w="3351" w:type="dxa"/>
            <w:noWrap/>
          </w:tcPr>
          <w:p w:rsidR="000C6F58" w:rsidRPr="00236079" w:rsidRDefault="000C6F58" w:rsidP="00292877">
            <w:pPr>
              <w:rPr>
                <w:b/>
                <w:bCs/>
                <w:lang w:eastAsia="en-GB" w:bidi="en-GB"/>
              </w:rPr>
            </w:pPr>
            <w:r w:rsidRPr="00236079">
              <w:rPr>
                <w:b/>
              </w:rPr>
              <w:t>Reference</w:t>
            </w:r>
          </w:p>
        </w:tc>
        <w:tc>
          <w:tcPr>
            <w:tcW w:w="5938" w:type="dxa"/>
            <w:noWrap/>
          </w:tcPr>
          <w:p w:rsidR="000C6F58" w:rsidRPr="00236079" w:rsidRDefault="000C6F58">
            <w:r w:rsidRPr="00236079">
              <w:t>Own-initiative opinion</w:t>
            </w:r>
          </w:p>
        </w:tc>
      </w:tr>
      <w:tr w:rsidR="000C6F58" w:rsidRPr="00236079" w:rsidTr="00152262">
        <w:tc>
          <w:tcPr>
            <w:tcW w:w="3351" w:type="dxa"/>
            <w:noWrap/>
          </w:tcPr>
          <w:p w:rsidR="000C6F58" w:rsidRPr="00236079" w:rsidRDefault="000C6F58" w:rsidP="00292877">
            <w:pPr>
              <w:rPr>
                <w:b/>
                <w:bCs/>
                <w:lang w:eastAsia="en-GB" w:bidi="en-GB"/>
              </w:rPr>
            </w:pPr>
            <w:r w:rsidRPr="00236079">
              <w:rPr>
                <w:b/>
              </w:rPr>
              <w:t>Legal basis</w:t>
            </w:r>
          </w:p>
        </w:tc>
        <w:tc>
          <w:tcPr>
            <w:tcW w:w="5938" w:type="dxa"/>
            <w:noWrap/>
          </w:tcPr>
          <w:p w:rsidR="000C6F58" w:rsidRPr="00236079" w:rsidRDefault="000C6F58">
            <w:pPr>
              <w:rPr>
                <w:b/>
                <w:lang w:eastAsia="en-GB" w:bidi="en-GB"/>
              </w:rPr>
            </w:pPr>
          </w:p>
        </w:tc>
      </w:tr>
      <w:tr w:rsidR="000C6F58" w:rsidRPr="00236079" w:rsidTr="00152262">
        <w:tc>
          <w:tcPr>
            <w:tcW w:w="3351" w:type="dxa"/>
            <w:noWrap/>
          </w:tcPr>
          <w:p w:rsidR="000C6F58" w:rsidRPr="00236079" w:rsidRDefault="000C6F58" w:rsidP="00292877">
            <w:pPr>
              <w:rPr>
                <w:b/>
                <w:bCs/>
                <w:lang w:eastAsia="en-GB" w:bidi="en-GB"/>
              </w:rPr>
            </w:pPr>
            <w:r w:rsidRPr="00236079">
              <w:rPr>
                <w:b/>
              </w:rPr>
              <w:t>Procedural basis</w:t>
            </w:r>
          </w:p>
        </w:tc>
        <w:tc>
          <w:tcPr>
            <w:tcW w:w="5938" w:type="dxa"/>
            <w:noWrap/>
          </w:tcPr>
          <w:p w:rsidR="000C6F58" w:rsidRPr="00236079" w:rsidRDefault="00706561">
            <w:pPr>
              <w:rPr>
                <w:lang w:eastAsia="en-GB" w:bidi="en-GB"/>
              </w:rPr>
            </w:pPr>
            <w:r w:rsidRPr="00236079">
              <w:rPr>
                <w:lang w:eastAsia="en-GB" w:bidi="en-GB"/>
              </w:rPr>
              <w:t>Art. 307</w:t>
            </w:r>
            <w:r w:rsidR="0037245D" w:rsidRPr="00236079">
              <w:rPr>
                <w:lang w:eastAsia="en-GB" w:bidi="en-GB"/>
              </w:rPr>
              <w:t xml:space="preserve"> (4)</w:t>
            </w:r>
          </w:p>
        </w:tc>
      </w:tr>
      <w:tr w:rsidR="000C6F58" w:rsidRPr="00236079" w:rsidTr="00152262">
        <w:tc>
          <w:tcPr>
            <w:tcW w:w="3351" w:type="dxa"/>
            <w:noWrap/>
          </w:tcPr>
          <w:p w:rsidR="000C6F58" w:rsidRPr="00236079" w:rsidRDefault="000C6F58" w:rsidP="00292877">
            <w:pPr>
              <w:rPr>
                <w:b/>
                <w:bCs/>
                <w:lang w:eastAsia="en-GB" w:bidi="en-GB"/>
              </w:rPr>
            </w:pPr>
            <w:r w:rsidRPr="00236079">
              <w:rPr>
                <w:b/>
              </w:rPr>
              <w:t>Date of Council/EP referral</w:t>
            </w:r>
          </w:p>
        </w:tc>
        <w:tc>
          <w:tcPr>
            <w:tcW w:w="5938" w:type="dxa"/>
            <w:noWrap/>
          </w:tcPr>
          <w:p w:rsidR="000C6F58" w:rsidRPr="00236079" w:rsidRDefault="000C6F58">
            <w:pPr>
              <w:rPr>
                <w:b/>
                <w:lang w:eastAsia="en-GB" w:bidi="en-GB"/>
              </w:rPr>
            </w:pPr>
          </w:p>
        </w:tc>
      </w:tr>
      <w:tr w:rsidR="000C6F58" w:rsidRPr="00236079" w:rsidTr="00152262">
        <w:tc>
          <w:tcPr>
            <w:tcW w:w="3351" w:type="dxa"/>
            <w:noWrap/>
          </w:tcPr>
          <w:p w:rsidR="000C6F58" w:rsidRPr="00236079" w:rsidRDefault="000C6F58" w:rsidP="00292877">
            <w:r w:rsidRPr="00236079">
              <w:rPr>
                <w:b/>
              </w:rPr>
              <w:t>Date of the CoR Bureau decision</w:t>
            </w:r>
          </w:p>
        </w:tc>
        <w:tc>
          <w:tcPr>
            <w:tcW w:w="5938" w:type="dxa"/>
            <w:noWrap/>
          </w:tcPr>
          <w:p w:rsidR="000C6F58" w:rsidRPr="00236079" w:rsidRDefault="000C6F58">
            <w:pPr>
              <w:rPr>
                <w:lang w:eastAsia="en-GB" w:bidi="en-GB"/>
              </w:rPr>
            </w:pPr>
            <w:r w:rsidRPr="00236079">
              <w:rPr>
                <w:lang w:eastAsia="en-GB" w:bidi="en-GB"/>
              </w:rPr>
              <w:t>14 June 2016</w:t>
            </w:r>
          </w:p>
        </w:tc>
      </w:tr>
      <w:tr w:rsidR="000C6F58" w:rsidRPr="00236079" w:rsidTr="00152262">
        <w:tc>
          <w:tcPr>
            <w:tcW w:w="3351" w:type="dxa"/>
            <w:noWrap/>
          </w:tcPr>
          <w:p w:rsidR="000C6F58" w:rsidRPr="00236079" w:rsidRDefault="000C6F58" w:rsidP="00292877">
            <w:pPr>
              <w:rPr>
                <w:b/>
                <w:bCs/>
                <w:lang w:eastAsia="en-GB" w:bidi="en-GB"/>
              </w:rPr>
            </w:pPr>
            <w:r w:rsidRPr="00236079">
              <w:rPr>
                <w:b/>
              </w:rPr>
              <w:t>Commission responsible</w:t>
            </w:r>
          </w:p>
        </w:tc>
        <w:tc>
          <w:tcPr>
            <w:tcW w:w="5938" w:type="dxa"/>
            <w:noWrap/>
          </w:tcPr>
          <w:p w:rsidR="000C6F58" w:rsidRPr="00236079" w:rsidRDefault="000C6F58">
            <w:pPr>
              <w:rPr>
                <w:lang w:eastAsia="en-GB" w:bidi="en-GB"/>
              </w:rPr>
            </w:pPr>
            <w:r w:rsidRPr="00236079">
              <w:t>Commission for the Environment, Climate Change and Energy</w:t>
            </w:r>
          </w:p>
        </w:tc>
      </w:tr>
      <w:tr w:rsidR="000C6F58" w:rsidRPr="00236079" w:rsidTr="00152262">
        <w:tc>
          <w:tcPr>
            <w:tcW w:w="3351" w:type="dxa"/>
            <w:noWrap/>
          </w:tcPr>
          <w:p w:rsidR="000C6F58" w:rsidRPr="00236079" w:rsidRDefault="000C6F58" w:rsidP="00292877">
            <w:pPr>
              <w:rPr>
                <w:b/>
                <w:bCs/>
                <w:lang w:eastAsia="en-GB" w:bidi="en-GB"/>
              </w:rPr>
            </w:pPr>
            <w:r w:rsidRPr="00236079">
              <w:rPr>
                <w:b/>
              </w:rPr>
              <w:t>Rapporteur</w:t>
            </w:r>
          </w:p>
        </w:tc>
        <w:tc>
          <w:tcPr>
            <w:tcW w:w="5938" w:type="dxa"/>
            <w:noWrap/>
          </w:tcPr>
          <w:p w:rsidR="000C6F58" w:rsidRPr="00236079" w:rsidRDefault="000C6F58">
            <w:pPr>
              <w:rPr>
                <w:lang w:eastAsia="en-GB" w:bidi="en-GB"/>
              </w:rPr>
            </w:pPr>
            <w:r w:rsidRPr="00236079">
              <w:rPr>
                <w:b/>
              </w:rPr>
              <w:t xml:space="preserve">Sirpa Hertell (FI/EPP), </w:t>
            </w:r>
            <w:r w:rsidRPr="00236079">
              <w:t>City councillor of Espoo</w:t>
            </w:r>
          </w:p>
        </w:tc>
      </w:tr>
      <w:tr w:rsidR="000C6F58" w:rsidRPr="00236079" w:rsidTr="00152262">
        <w:tc>
          <w:tcPr>
            <w:tcW w:w="3351" w:type="dxa"/>
            <w:noWrap/>
          </w:tcPr>
          <w:p w:rsidR="000C6F58" w:rsidRPr="00236079" w:rsidRDefault="000C6F58" w:rsidP="00292877">
            <w:pPr>
              <w:rPr>
                <w:b/>
                <w:bCs/>
                <w:lang w:eastAsia="en-GB" w:bidi="en-GB"/>
              </w:rPr>
            </w:pPr>
            <w:r w:rsidRPr="00236079">
              <w:rPr>
                <w:b/>
              </w:rPr>
              <w:t>Analysis</w:t>
            </w:r>
          </w:p>
        </w:tc>
        <w:tc>
          <w:tcPr>
            <w:tcW w:w="5938" w:type="dxa"/>
            <w:noWrap/>
          </w:tcPr>
          <w:p w:rsidR="000C6F58" w:rsidRPr="00236079" w:rsidRDefault="000C6F58">
            <w:pPr>
              <w:rPr>
                <w:b/>
                <w:lang w:eastAsia="en-GB" w:bidi="en-GB"/>
              </w:rPr>
            </w:pPr>
          </w:p>
        </w:tc>
      </w:tr>
      <w:tr w:rsidR="000C6F58" w:rsidRPr="00236079" w:rsidTr="00152262">
        <w:tc>
          <w:tcPr>
            <w:tcW w:w="3351" w:type="dxa"/>
            <w:noWrap/>
          </w:tcPr>
          <w:p w:rsidR="000C6F58" w:rsidRPr="00236079" w:rsidRDefault="000C6F58" w:rsidP="00292877">
            <w:pPr>
              <w:rPr>
                <w:b/>
                <w:bCs/>
                <w:lang w:eastAsia="en-GB" w:bidi="en-GB"/>
              </w:rPr>
            </w:pPr>
            <w:r w:rsidRPr="00236079">
              <w:rPr>
                <w:b/>
              </w:rPr>
              <w:t>Discussed in commission</w:t>
            </w:r>
          </w:p>
        </w:tc>
        <w:tc>
          <w:tcPr>
            <w:tcW w:w="5938" w:type="dxa"/>
            <w:noWrap/>
          </w:tcPr>
          <w:p w:rsidR="000C6F58" w:rsidRPr="00236079" w:rsidRDefault="000C6F58">
            <w:pPr>
              <w:rPr>
                <w:lang w:eastAsia="en-GB" w:bidi="en-GB"/>
              </w:rPr>
            </w:pPr>
            <w:r w:rsidRPr="00236079">
              <w:t>1 December 2016</w:t>
            </w:r>
          </w:p>
        </w:tc>
      </w:tr>
      <w:tr w:rsidR="000C6F58" w:rsidRPr="00236079" w:rsidTr="00152262">
        <w:tc>
          <w:tcPr>
            <w:tcW w:w="3351" w:type="dxa"/>
            <w:noWrap/>
          </w:tcPr>
          <w:p w:rsidR="000C6F58" w:rsidRPr="00236079" w:rsidRDefault="000C6F58" w:rsidP="00292877">
            <w:pPr>
              <w:rPr>
                <w:b/>
                <w:bCs/>
                <w:lang w:eastAsia="en-GB" w:bidi="en-GB"/>
              </w:rPr>
            </w:pPr>
            <w:r w:rsidRPr="00236079">
              <w:rPr>
                <w:b/>
              </w:rPr>
              <w:t>Date adopted by commission</w:t>
            </w:r>
          </w:p>
        </w:tc>
        <w:tc>
          <w:tcPr>
            <w:tcW w:w="5938" w:type="dxa"/>
            <w:noWrap/>
          </w:tcPr>
          <w:p w:rsidR="000C6F58" w:rsidRPr="00236079" w:rsidRDefault="000C6F58">
            <w:pPr>
              <w:rPr>
                <w:lang w:eastAsia="en-GB" w:bidi="en-GB"/>
              </w:rPr>
            </w:pPr>
            <w:r w:rsidRPr="00236079">
              <w:t>1 December 2016</w:t>
            </w:r>
          </w:p>
        </w:tc>
      </w:tr>
      <w:tr w:rsidR="000C6F58" w:rsidRPr="00236079" w:rsidTr="00152262">
        <w:tc>
          <w:tcPr>
            <w:tcW w:w="3351" w:type="dxa"/>
            <w:noWrap/>
          </w:tcPr>
          <w:p w:rsidR="000C6F58" w:rsidRPr="00236079" w:rsidRDefault="000C6F58" w:rsidP="00292877">
            <w:pPr>
              <w:rPr>
                <w:b/>
              </w:rPr>
            </w:pPr>
            <w:r w:rsidRPr="00236079">
              <w:rPr>
                <w:b/>
              </w:rPr>
              <w:t>Result of the vote in commission</w:t>
            </w:r>
          </w:p>
          <w:p w:rsidR="000C6F58" w:rsidRPr="00236079" w:rsidRDefault="000C6F58">
            <w:pPr>
              <w:rPr>
                <w:b/>
                <w:bCs/>
                <w:lang w:eastAsia="en-GB" w:bidi="en-GB"/>
              </w:rPr>
            </w:pPr>
            <w:r w:rsidRPr="00236079">
              <w:rPr>
                <w:b/>
              </w:rPr>
              <w:t>(majority, unanimity)</w:t>
            </w:r>
          </w:p>
        </w:tc>
        <w:tc>
          <w:tcPr>
            <w:tcW w:w="5938" w:type="dxa"/>
            <w:noWrap/>
          </w:tcPr>
          <w:p w:rsidR="000C6F58" w:rsidRPr="00236079" w:rsidRDefault="00B27254" w:rsidP="00B76538">
            <w:pPr>
              <w:rPr>
                <w:lang w:eastAsia="en-GB" w:bidi="en-GB"/>
              </w:rPr>
            </w:pPr>
            <w:r w:rsidRPr="00236079">
              <w:rPr>
                <w:lang w:eastAsia="en-GB" w:bidi="en-GB"/>
              </w:rPr>
              <w:t>Unanim</w:t>
            </w:r>
            <w:r w:rsidR="00B76538" w:rsidRPr="00236079">
              <w:rPr>
                <w:lang w:eastAsia="en-GB" w:bidi="en-GB"/>
              </w:rPr>
              <w:t>ity</w:t>
            </w:r>
            <w:r w:rsidRPr="00236079">
              <w:rPr>
                <w:lang w:eastAsia="en-GB" w:bidi="en-GB"/>
              </w:rPr>
              <w:t xml:space="preserve"> </w:t>
            </w:r>
          </w:p>
        </w:tc>
      </w:tr>
      <w:tr w:rsidR="000C6F58" w:rsidRPr="00236079" w:rsidTr="00152262">
        <w:tc>
          <w:tcPr>
            <w:tcW w:w="3351" w:type="dxa"/>
            <w:noWrap/>
          </w:tcPr>
          <w:p w:rsidR="000C6F58" w:rsidRPr="00236079" w:rsidRDefault="000C6F58" w:rsidP="00292877">
            <w:pPr>
              <w:rPr>
                <w:b/>
                <w:bCs/>
                <w:lang w:eastAsia="en-GB" w:bidi="en-GB"/>
              </w:rPr>
            </w:pPr>
            <w:r w:rsidRPr="00236079">
              <w:rPr>
                <w:b/>
              </w:rPr>
              <w:t>Date adopted in plenary</w:t>
            </w:r>
          </w:p>
        </w:tc>
        <w:tc>
          <w:tcPr>
            <w:tcW w:w="5938" w:type="dxa"/>
            <w:noWrap/>
          </w:tcPr>
          <w:p w:rsidR="000C6F58" w:rsidRPr="00236079" w:rsidRDefault="0041771F">
            <w:pPr>
              <w:rPr>
                <w:lang w:eastAsia="en-GB" w:bidi="en-GB"/>
              </w:rPr>
            </w:pPr>
            <w:r w:rsidRPr="00236079">
              <w:t>9</w:t>
            </w:r>
            <w:r w:rsidR="000C6F58" w:rsidRPr="00236079">
              <w:t xml:space="preserve"> February 2017</w:t>
            </w:r>
          </w:p>
        </w:tc>
      </w:tr>
      <w:tr w:rsidR="000C6F58" w:rsidRPr="00236079" w:rsidTr="00152262">
        <w:tc>
          <w:tcPr>
            <w:tcW w:w="3351" w:type="dxa"/>
            <w:noWrap/>
          </w:tcPr>
          <w:p w:rsidR="000C6F58" w:rsidRPr="00236079" w:rsidRDefault="000C6F58" w:rsidP="00292877">
            <w:pPr>
              <w:rPr>
                <w:b/>
                <w:bCs/>
                <w:lang w:eastAsia="en-GB" w:bidi="en-GB"/>
              </w:rPr>
            </w:pPr>
            <w:r w:rsidRPr="00236079">
              <w:rPr>
                <w:b/>
              </w:rPr>
              <w:t>Previous Committee opinions</w:t>
            </w:r>
          </w:p>
        </w:tc>
        <w:tc>
          <w:tcPr>
            <w:tcW w:w="5938" w:type="dxa"/>
            <w:noWrap/>
          </w:tcPr>
          <w:p w:rsidR="000C6F58" w:rsidRPr="00236079" w:rsidRDefault="000C6F58">
            <w:pPr>
              <w:rPr>
                <w:b/>
                <w:lang w:eastAsia="en-GB" w:bidi="en-GB"/>
              </w:rPr>
            </w:pPr>
          </w:p>
        </w:tc>
      </w:tr>
      <w:tr w:rsidR="000C6F58" w:rsidRPr="00236079" w:rsidTr="00152262">
        <w:tc>
          <w:tcPr>
            <w:tcW w:w="3351" w:type="dxa"/>
            <w:noWrap/>
          </w:tcPr>
          <w:p w:rsidR="000C6F58" w:rsidRPr="00236079" w:rsidRDefault="000C6F58" w:rsidP="00C4447F">
            <w:pPr>
              <w:jc w:val="left"/>
              <w:rPr>
                <w:b/>
                <w:bCs/>
                <w:lang w:eastAsia="en-GB" w:bidi="en-GB"/>
              </w:rPr>
            </w:pPr>
            <w:r w:rsidRPr="00236079">
              <w:rPr>
                <w:b/>
              </w:rPr>
              <w:t>Date of subsidiarity monitoring consultation</w:t>
            </w:r>
          </w:p>
        </w:tc>
        <w:tc>
          <w:tcPr>
            <w:tcW w:w="5938" w:type="dxa"/>
            <w:noWrap/>
          </w:tcPr>
          <w:p w:rsidR="000C6F58" w:rsidRPr="00236079" w:rsidRDefault="000C6F58">
            <w:pPr>
              <w:rPr>
                <w:b/>
                <w:lang w:eastAsia="en-GB" w:bidi="en-GB"/>
              </w:rPr>
            </w:pPr>
          </w:p>
        </w:tc>
      </w:tr>
    </w:tbl>
    <w:p w:rsidR="00BB334F" w:rsidRPr="00236079" w:rsidRDefault="00BB334F" w:rsidP="00292877"/>
    <w:p w:rsidR="00BB334F" w:rsidRPr="00236079" w:rsidRDefault="00BB334F" w:rsidP="00152262">
      <w:pPr>
        <w:jc w:val="center"/>
        <w:rPr>
          <w:u w:val="single"/>
        </w:rPr>
      </w:pPr>
      <w:r w:rsidRPr="00236079">
        <w:t>_____________</w:t>
      </w:r>
    </w:p>
    <w:sectPr w:rsidR="00BB334F" w:rsidRPr="00236079" w:rsidSect="00681E0A">
      <w:headerReference w:type="even" r:id="rId26"/>
      <w:headerReference w:type="default" r:id="rId27"/>
      <w:footerReference w:type="even" r:id="rId28"/>
      <w:footerReference w:type="default" r:id="rId29"/>
      <w:headerReference w:type="first" r:id="rId30"/>
      <w:footerReference w:type="first" r:id="rId31"/>
      <w:pgSz w:w="11907" w:h="16839" w:code="9"/>
      <w:pgMar w:top="1417" w:right="1417" w:bottom="1417" w:left="1417" w:header="709" w:footer="709" w:gutter="0"/>
      <w:pgNumType w:start="1"/>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4921FB" w15:done="0"/>
  <w15:commentEx w15:paraId="4EA97AB1" w15:done="0"/>
  <w15:commentEx w15:paraId="38B05B09" w15:done="0"/>
  <w15:commentEx w15:paraId="60A14075" w15:done="0"/>
  <w15:commentEx w15:paraId="2532C0B1" w15:done="0"/>
  <w15:commentEx w15:paraId="271707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B7" w:rsidRDefault="007124B7">
      <w:r>
        <w:separator/>
      </w:r>
    </w:p>
  </w:endnote>
  <w:endnote w:type="continuationSeparator" w:id="0">
    <w:p w:rsidR="007124B7" w:rsidRDefault="0071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0A" w:rsidRPr="00681E0A" w:rsidRDefault="00681E0A" w:rsidP="00681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DB" w:rsidRPr="00681E0A" w:rsidRDefault="00681E0A" w:rsidP="00681E0A">
    <w:pPr>
      <w:pStyle w:val="Footer"/>
    </w:pPr>
    <w:r>
      <w:t xml:space="preserve">COR-2016-02430-00-00-AC-TRA (EN) </w:t>
    </w:r>
    <w:r>
      <w:fldChar w:fldCharType="begin"/>
    </w:r>
    <w:r>
      <w:instrText xml:space="preserve"> PAGE  \* Arabic  \* MERGEFORMAT </w:instrText>
    </w:r>
    <w:r>
      <w:fldChar w:fldCharType="separate"/>
    </w:r>
    <w:r w:rsidR="00236079">
      <w:rPr>
        <w:noProof/>
      </w:rPr>
      <w:t>3</w:t>
    </w:r>
    <w:r>
      <w:fldChar w:fldCharType="end"/>
    </w:r>
    <w:r>
      <w:t>/</w:t>
    </w:r>
    <w:r>
      <w:fldChar w:fldCharType="begin"/>
    </w:r>
    <w:r>
      <w:instrText xml:space="preserve"> = </w:instrText>
    </w:r>
    <w:fldSimple w:instr=" NUMPAGES ">
      <w:r w:rsidR="00236079">
        <w:rPr>
          <w:noProof/>
        </w:rPr>
        <w:instrText>3</w:instrText>
      </w:r>
    </w:fldSimple>
    <w:r>
      <w:instrText xml:space="preserve"> </w:instrText>
    </w:r>
    <w:r>
      <w:fldChar w:fldCharType="separate"/>
    </w:r>
    <w:r w:rsidR="0023607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0A" w:rsidRPr="00681E0A" w:rsidRDefault="00681E0A" w:rsidP="00681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B7" w:rsidRDefault="007124B7">
      <w:r>
        <w:separator/>
      </w:r>
    </w:p>
  </w:footnote>
  <w:footnote w:type="continuationSeparator" w:id="0">
    <w:p w:rsidR="007124B7" w:rsidRDefault="007124B7">
      <w:r>
        <w:continuationSeparator/>
      </w:r>
    </w:p>
  </w:footnote>
  <w:footnote w:id="1">
    <w:p w:rsidR="006672CB" w:rsidRPr="008442E8" w:rsidRDefault="006672CB" w:rsidP="006672CB">
      <w:pPr>
        <w:pStyle w:val="FootnoteText"/>
      </w:pPr>
      <w:r w:rsidRPr="008442E8">
        <w:rPr>
          <w:rStyle w:val="FootnoteReference"/>
        </w:rPr>
        <w:footnoteRef/>
      </w:r>
      <w:r w:rsidR="00416C58" w:rsidRPr="008442E8">
        <w:tab/>
      </w:r>
      <w:r w:rsidRPr="008442E8">
        <w:rPr>
          <w:i/>
        </w:rPr>
        <w:t>Effective water management system: an approach to innovative solutions</w:t>
      </w:r>
      <w:r w:rsidRPr="008442E8">
        <w:t xml:space="preserve"> – Rapporteur: Cees Loggen </w:t>
      </w:r>
    </w:p>
    <w:p w:rsidR="006672CB" w:rsidRPr="008442E8" w:rsidRDefault="006672CB" w:rsidP="00152262">
      <w:pPr>
        <w:pStyle w:val="FootnoteText"/>
        <w:ind w:firstLine="0"/>
      </w:pPr>
      <w:r w:rsidRPr="008442E8">
        <w:rPr>
          <w:i/>
        </w:rPr>
        <w:t>Mid-term evaluation of the LIFE Programme</w:t>
      </w:r>
      <w:r w:rsidRPr="008442E8">
        <w:t xml:space="preserve"> – Rapporteur: Witold Stepien </w:t>
      </w:r>
    </w:p>
    <w:p w:rsidR="006672CB" w:rsidRPr="008442E8" w:rsidRDefault="006672CB" w:rsidP="00152262">
      <w:pPr>
        <w:pStyle w:val="FootnoteText"/>
        <w:ind w:firstLine="0"/>
      </w:pPr>
      <w:r w:rsidRPr="008442E8">
        <w:rPr>
          <w:i/>
        </w:rPr>
        <w:t>Action Plan on the Sendai Framework for Disaster Risk Reduction 2015-2030 - A disaster risk-informed approach for all EU policies</w:t>
      </w:r>
      <w:r w:rsidRPr="008442E8">
        <w:t xml:space="preserve"> Rapporteur: Adam Banaszak </w:t>
      </w:r>
    </w:p>
    <w:p w:rsidR="006672CB" w:rsidRPr="008442E8" w:rsidRDefault="006672CB" w:rsidP="00152262">
      <w:pPr>
        <w:pStyle w:val="FootnoteText"/>
        <w:ind w:firstLine="0"/>
      </w:pPr>
      <w:r w:rsidRPr="008442E8">
        <w:rPr>
          <w:i/>
        </w:rPr>
        <w:t>Delivering the global climate agreement – a territorial approach to COP22 in Marrakesh</w:t>
      </w:r>
      <w:r w:rsidRPr="008442E8">
        <w:t xml:space="preserve"> – Rapporteur: Francesco Pigliaru</w:t>
      </w:r>
      <w:r w:rsidR="00416C58" w:rsidRPr="008442E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0A" w:rsidRPr="00681E0A" w:rsidRDefault="00681E0A" w:rsidP="00681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0A" w:rsidRPr="00681E0A" w:rsidRDefault="00681E0A" w:rsidP="00681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0A" w:rsidRPr="00681E0A" w:rsidRDefault="00681E0A" w:rsidP="00681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463FC6"/>
    <w:multiLevelType w:val="hybridMultilevel"/>
    <w:tmpl w:val="D5FA7920"/>
    <w:lvl w:ilvl="0" w:tplc="604E1700">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C26C4A"/>
    <w:multiLevelType w:val="hybridMultilevel"/>
    <w:tmpl w:val="A2309A64"/>
    <w:lvl w:ilvl="0" w:tplc="0BECAF24">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321584"/>
    <w:multiLevelType w:val="hybridMultilevel"/>
    <w:tmpl w:val="B16E5E3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3FF75A8"/>
    <w:multiLevelType w:val="multilevel"/>
    <w:tmpl w:val="0E16E87A"/>
    <w:lvl w:ilvl="0">
      <w:start w:val="1"/>
      <w:numFmt w:val="upperRoman"/>
      <w:lvlText w:val="%1."/>
      <w:lvlJc w:val="left"/>
      <w:pPr>
        <w:tabs>
          <w:tab w:val="num" w:pos="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7DDD5E3B"/>
    <w:multiLevelType w:val="hybridMultilevel"/>
    <w:tmpl w:val="6F5A2928"/>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1"/>
  </w:num>
  <w:num w:numId="13">
    <w:abstractNumId w:val="5"/>
  </w:num>
  <w:numIdMacAtCleanup w:val="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059C0"/>
    <w:rsid w:val="00007A5D"/>
    <w:rsid w:val="00017A19"/>
    <w:rsid w:val="00017EF8"/>
    <w:rsid w:val="000275BC"/>
    <w:rsid w:val="000325D2"/>
    <w:rsid w:val="00032D5E"/>
    <w:rsid w:val="000346F1"/>
    <w:rsid w:val="00036FAC"/>
    <w:rsid w:val="00037ABA"/>
    <w:rsid w:val="00051CFD"/>
    <w:rsid w:val="00052DE1"/>
    <w:rsid w:val="00060F08"/>
    <w:rsid w:val="00061482"/>
    <w:rsid w:val="000615B3"/>
    <w:rsid w:val="000619E3"/>
    <w:rsid w:val="00062746"/>
    <w:rsid w:val="00062E9E"/>
    <w:rsid w:val="00063DE8"/>
    <w:rsid w:val="000648FE"/>
    <w:rsid w:val="00064CE7"/>
    <w:rsid w:val="000653CD"/>
    <w:rsid w:val="00065D4C"/>
    <w:rsid w:val="00067DAD"/>
    <w:rsid w:val="000757CD"/>
    <w:rsid w:val="0007636B"/>
    <w:rsid w:val="00077D86"/>
    <w:rsid w:val="000812A6"/>
    <w:rsid w:val="00082F15"/>
    <w:rsid w:val="0008540F"/>
    <w:rsid w:val="000938AC"/>
    <w:rsid w:val="000961CF"/>
    <w:rsid w:val="00097FE2"/>
    <w:rsid w:val="000A016D"/>
    <w:rsid w:val="000A58CD"/>
    <w:rsid w:val="000A6EFC"/>
    <w:rsid w:val="000C1405"/>
    <w:rsid w:val="000C603F"/>
    <w:rsid w:val="000C65EA"/>
    <w:rsid w:val="000C6F58"/>
    <w:rsid w:val="000D0B72"/>
    <w:rsid w:val="000D42F0"/>
    <w:rsid w:val="000D4BCB"/>
    <w:rsid w:val="000D5BFE"/>
    <w:rsid w:val="000E1300"/>
    <w:rsid w:val="000E22C4"/>
    <w:rsid w:val="000F3580"/>
    <w:rsid w:val="000F5957"/>
    <w:rsid w:val="001044D8"/>
    <w:rsid w:val="0010526E"/>
    <w:rsid w:val="00106E65"/>
    <w:rsid w:val="001070BC"/>
    <w:rsid w:val="00107DD6"/>
    <w:rsid w:val="00113460"/>
    <w:rsid w:val="00121B91"/>
    <w:rsid w:val="00124EF4"/>
    <w:rsid w:val="001256EF"/>
    <w:rsid w:val="00130C13"/>
    <w:rsid w:val="00130E88"/>
    <w:rsid w:val="0014027C"/>
    <w:rsid w:val="00146760"/>
    <w:rsid w:val="00152262"/>
    <w:rsid w:val="0015715A"/>
    <w:rsid w:val="0016002C"/>
    <w:rsid w:val="001617E0"/>
    <w:rsid w:val="001651D3"/>
    <w:rsid w:val="00166956"/>
    <w:rsid w:val="00166A47"/>
    <w:rsid w:val="00171F66"/>
    <w:rsid w:val="00173543"/>
    <w:rsid w:val="00183AD8"/>
    <w:rsid w:val="00185A0F"/>
    <w:rsid w:val="0019570D"/>
    <w:rsid w:val="001A280C"/>
    <w:rsid w:val="001A43FA"/>
    <w:rsid w:val="001B0E50"/>
    <w:rsid w:val="001B1AE3"/>
    <w:rsid w:val="001C196C"/>
    <w:rsid w:val="001C2B95"/>
    <w:rsid w:val="001C5143"/>
    <w:rsid w:val="001C53C7"/>
    <w:rsid w:val="001D027E"/>
    <w:rsid w:val="001D1828"/>
    <w:rsid w:val="001D1C78"/>
    <w:rsid w:val="001D32B1"/>
    <w:rsid w:val="001D6F5E"/>
    <w:rsid w:val="001E39F2"/>
    <w:rsid w:val="001E7336"/>
    <w:rsid w:val="001F1051"/>
    <w:rsid w:val="001F1C62"/>
    <w:rsid w:val="001F3D67"/>
    <w:rsid w:val="001F6FE0"/>
    <w:rsid w:val="001F7A6B"/>
    <w:rsid w:val="00203E52"/>
    <w:rsid w:val="00211FCA"/>
    <w:rsid w:val="0021748C"/>
    <w:rsid w:val="00217601"/>
    <w:rsid w:val="0022753A"/>
    <w:rsid w:val="00233CC3"/>
    <w:rsid w:val="002340ED"/>
    <w:rsid w:val="00236079"/>
    <w:rsid w:val="00237B36"/>
    <w:rsid w:val="0024482C"/>
    <w:rsid w:val="00254B94"/>
    <w:rsid w:val="002619F0"/>
    <w:rsid w:val="002649B7"/>
    <w:rsid w:val="00264BF8"/>
    <w:rsid w:val="0027246A"/>
    <w:rsid w:val="00275528"/>
    <w:rsid w:val="00280A6A"/>
    <w:rsid w:val="00282E5F"/>
    <w:rsid w:val="00283974"/>
    <w:rsid w:val="002854CE"/>
    <w:rsid w:val="002858CE"/>
    <w:rsid w:val="00292877"/>
    <w:rsid w:val="002940E5"/>
    <w:rsid w:val="00295B9A"/>
    <w:rsid w:val="002A0B88"/>
    <w:rsid w:val="002A3125"/>
    <w:rsid w:val="002A3F31"/>
    <w:rsid w:val="002A5A9D"/>
    <w:rsid w:val="002B6A78"/>
    <w:rsid w:val="002C043E"/>
    <w:rsid w:val="002C2E91"/>
    <w:rsid w:val="002D069B"/>
    <w:rsid w:val="002D18F3"/>
    <w:rsid w:val="002D5970"/>
    <w:rsid w:val="002E0AF9"/>
    <w:rsid w:val="002E1596"/>
    <w:rsid w:val="002E70BB"/>
    <w:rsid w:val="002E73EC"/>
    <w:rsid w:val="002E7ECB"/>
    <w:rsid w:val="002F03D6"/>
    <w:rsid w:val="002F4D26"/>
    <w:rsid w:val="002F69C7"/>
    <w:rsid w:val="00304775"/>
    <w:rsid w:val="00304A66"/>
    <w:rsid w:val="00306A90"/>
    <w:rsid w:val="00320FAA"/>
    <w:rsid w:val="003218E7"/>
    <w:rsid w:val="0033025E"/>
    <w:rsid w:val="00333D89"/>
    <w:rsid w:val="00341A84"/>
    <w:rsid w:val="00343534"/>
    <w:rsid w:val="00343F92"/>
    <w:rsid w:val="00345F4F"/>
    <w:rsid w:val="00350661"/>
    <w:rsid w:val="00350F09"/>
    <w:rsid w:val="003571CF"/>
    <w:rsid w:val="003628AA"/>
    <w:rsid w:val="0036354A"/>
    <w:rsid w:val="003659BF"/>
    <w:rsid w:val="003674DA"/>
    <w:rsid w:val="0037245D"/>
    <w:rsid w:val="00377136"/>
    <w:rsid w:val="0038000B"/>
    <w:rsid w:val="00380221"/>
    <w:rsid w:val="003915A8"/>
    <w:rsid w:val="0039625C"/>
    <w:rsid w:val="003A392D"/>
    <w:rsid w:val="003A5517"/>
    <w:rsid w:val="003A6655"/>
    <w:rsid w:val="003A6798"/>
    <w:rsid w:val="003A77CE"/>
    <w:rsid w:val="003A7F4B"/>
    <w:rsid w:val="003B42A0"/>
    <w:rsid w:val="003B442C"/>
    <w:rsid w:val="003B51E2"/>
    <w:rsid w:val="003C2185"/>
    <w:rsid w:val="003C321B"/>
    <w:rsid w:val="003C478A"/>
    <w:rsid w:val="003C74B6"/>
    <w:rsid w:val="003D04C4"/>
    <w:rsid w:val="003D1B13"/>
    <w:rsid w:val="003D56FD"/>
    <w:rsid w:val="003E0677"/>
    <w:rsid w:val="003E21EF"/>
    <w:rsid w:val="003E4DA4"/>
    <w:rsid w:val="003E5C5D"/>
    <w:rsid w:val="003E733B"/>
    <w:rsid w:val="003F5BAA"/>
    <w:rsid w:val="003F6061"/>
    <w:rsid w:val="003F684C"/>
    <w:rsid w:val="00404989"/>
    <w:rsid w:val="00405BC8"/>
    <w:rsid w:val="004100EF"/>
    <w:rsid w:val="00414473"/>
    <w:rsid w:val="00416C58"/>
    <w:rsid w:val="0041771F"/>
    <w:rsid w:val="004249C2"/>
    <w:rsid w:val="00425457"/>
    <w:rsid w:val="00433CFF"/>
    <w:rsid w:val="00435B87"/>
    <w:rsid w:val="004363DF"/>
    <w:rsid w:val="004416D1"/>
    <w:rsid w:val="004422B3"/>
    <w:rsid w:val="00442DA1"/>
    <w:rsid w:val="00456945"/>
    <w:rsid w:val="00461C94"/>
    <w:rsid w:val="00465C3E"/>
    <w:rsid w:val="00474BEE"/>
    <w:rsid w:val="00476922"/>
    <w:rsid w:val="00477EA5"/>
    <w:rsid w:val="004808BF"/>
    <w:rsid w:val="00482650"/>
    <w:rsid w:val="00483901"/>
    <w:rsid w:val="00483A08"/>
    <w:rsid w:val="00486ADB"/>
    <w:rsid w:val="00487DEA"/>
    <w:rsid w:val="004926D4"/>
    <w:rsid w:val="00492A93"/>
    <w:rsid w:val="00496F6D"/>
    <w:rsid w:val="00497121"/>
    <w:rsid w:val="00497C68"/>
    <w:rsid w:val="004A2119"/>
    <w:rsid w:val="004A3333"/>
    <w:rsid w:val="004B35BF"/>
    <w:rsid w:val="004B3EF2"/>
    <w:rsid w:val="004B4D83"/>
    <w:rsid w:val="004B733B"/>
    <w:rsid w:val="004C19AF"/>
    <w:rsid w:val="004C4841"/>
    <w:rsid w:val="004C5503"/>
    <w:rsid w:val="004C66D8"/>
    <w:rsid w:val="004D0021"/>
    <w:rsid w:val="004D6F48"/>
    <w:rsid w:val="004E280F"/>
    <w:rsid w:val="004E5980"/>
    <w:rsid w:val="004E70E5"/>
    <w:rsid w:val="004E7559"/>
    <w:rsid w:val="004F203B"/>
    <w:rsid w:val="004F2861"/>
    <w:rsid w:val="0050151E"/>
    <w:rsid w:val="00507345"/>
    <w:rsid w:val="00507772"/>
    <w:rsid w:val="00507D64"/>
    <w:rsid w:val="00515A27"/>
    <w:rsid w:val="0052107F"/>
    <w:rsid w:val="00524860"/>
    <w:rsid w:val="005254D8"/>
    <w:rsid w:val="005263FF"/>
    <w:rsid w:val="00530E01"/>
    <w:rsid w:val="00533B0A"/>
    <w:rsid w:val="0053482B"/>
    <w:rsid w:val="005372A8"/>
    <w:rsid w:val="00537A9E"/>
    <w:rsid w:val="00547622"/>
    <w:rsid w:val="00551710"/>
    <w:rsid w:val="00551D3A"/>
    <w:rsid w:val="005608F5"/>
    <w:rsid w:val="00560BCF"/>
    <w:rsid w:val="00563AD2"/>
    <w:rsid w:val="00567C4F"/>
    <w:rsid w:val="005700B2"/>
    <w:rsid w:val="005745E2"/>
    <w:rsid w:val="00575821"/>
    <w:rsid w:val="005762C5"/>
    <w:rsid w:val="00590B57"/>
    <w:rsid w:val="00591AA1"/>
    <w:rsid w:val="0059540B"/>
    <w:rsid w:val="005A24A2"/>
    <w:rsid w:val="005B23E5"/>
    <w:rsid w:val="005B4C93"/>
    <w:rsid w:val="005B5D90"/>
    <w:rsid w:val="005C1A29"/>
    <w:rsid w:val="005C4F1C"/>
    <w:rsid w:val="005C7618"/>
    <w:rsid w:val="005C7A92"/>
    <w:rsid w:val="005D0D29"/>
    <w:rsid w:val="005D1709"/>
    <w:rsid w:val="005D31A6"/>
    <w:rsid w:val="005D5FD4"/>
    <w:rsid w:val="005E4737"/>
    <w:rsid w:val="005E7DE7"/>
    <w:rsid w:val="005F2CA7"/>
    <w:rsid w:val="005F6441"/>
    <w:rsid w:val="005F6758"/>
    <w:rsid w:val="005F72C7"/>
    <w:rsid w:val="006014B7"/>
    <w:rsid w:val="006078AE"/>
    <w:rsid w:val="00607D67"/>
    <w:rsid w:val="00614B77"/>
    <w:rsid w:val="006171B0"/>
    <w:rsid w:val="006174F3"/>
    <w:rsid w:val="006200C2"/>
    <w:rsid w:val="00620275"/>
    <w:rsid w:val="006216BE"/>
    <w:rsid w:val="00623F50"/>
    <w:rsid w:val="00624457"/>
    <w:rsid w:val="0062620E"/>
    <w:rsid w:val="00633920"/>
    <w:rsid w:val="00634FAD"/>
    <w:rsid w:val="00635754"/>
    <w:rsid w:val="00636B5A"/>
    <w:rsid w:val="00644CDD"/>
    <w:rsid w:val="00651FF6"/>
    <w:rsid w:val="00652622"/>
    <w:rsid w:val="006529CB"/>
    <w:rsid w:val="006541B0"/>
    <w:rsid w:val="00654F48"/>
    <w:rsid w:val="00656EF8"/>
    <w:rsid w:val="00663F3B"/>
    <w:rsid w:val="006672CB"/>
    <w:rsid w:val="00672374"/>
    <w:rsid w:val="006724A0"/>
    <w:rsid w:val="00674D38"/>
    <w:rsid w:val="00681639"/>
    <w:rsid w:val="00681E0A"/>
    <w:rsid w:val="0068706B"/>
    <w:rsid w:val="00690114"/>
    <w:rsid w:val="00697DC3"/>
    <w:rsid w:val="006A1DAD"/>
    <w:rsid w:val="006A76A5"/>
    <w:rsid w:val="006B190C"/>
    <w:rsid w:val="006B29D7"/>
    <w:rsid w:val="006B34BA"/>
    <w:rsid w:val="006B45E6"/>
    <w:rsid w:val="006C1058"/>
    <w:rsid w:val="006C2572"/>
    <w:rsid w:val="006C60E8"/>
    <w:rsid w:val="006D509F"/>
    <w:rsid w:val="006E6091"/>
    <w:rsid w:val="006E6AA2"/>
    <w:rsid w:val="006E7AA7"/>
    <w:rsid w:val="006F2CCB"/>
    <w:rsid w:val="00703829"/>
    <w:rsid w:val="00706561"/>
    <w:rsid w:val="007120FD"/>
    <w:rsid w:val="007124B7"/>
    <w:rsid w:val="00712970"/>
    <w:rsid w:val="007160A9"/>
    <w:rsid w:val="00716F2B"/>
    <w:rsid w:val="007229D0"/>
    <w:rsid w:val="00723E42"/>
    <w:rsid w:val="007240C2"/>
    <w:rsid w:val="00734931"/>
    <w:rsid w:val="00744376"/>
    <w:rsid w:val="00747862"/>
    <w:rsid w:val="007602FA"/>
    <w:rsid w:val="00763738"/>
    <w:rsid w:val="00772F1F"/>
    <w:rsid w:val="00774B6A"/>
    <w:rsid w:val="00777C50"/>
    <w:rsid w:val="00780624"/>
    <w:rsid w:val="00784646"/>
    <w:rsid w:val="007858B1"/>
    <w:rsid w:val="00786259"/>
    <w:rsid w:val="0079007C"/>
    <w:rsid w:val="007A196B"/>
    <w:rsid w:val="007A2273"/>
    <w:rsid w:val="007A4839"/>
    <w:rsid w:val="007B3D51"/>
    <w:rsid w:val="007B5620"/>
    <w:rsid w:val="007C11D1"/>
    <w:rsid w:val="007C1FEE"/>
    <w:rsid w:val="007D42F3"/>
    <w:rsid w:val="007D449A"/>
    <w:rsid w:val="007D56B8"/>
    <w:rsid w:val="007E2B7A"/>
    <w:rsid w:val="007E2DCD"/>
    <w:rsid w:val="007E5009"/>
    <w:rsid w:val="007F1299"/>
    <w:rsid w:val="007F3265"/>
    <w:rsid w:val="007F7CB7"/>
    <w:rsid w:val="00801C69"/>
    <w:rsid w:val="00802C2D"/>
    <w:rsid w:val="00805275"/>
    <w:rsid w:val="008068A0"/>
    <w:rsid w:val="00807BDD"/>
    <w:rsid w:val="0081757E"/>
    <w:rsid w:val="008338BD"/>
    <w:rsid w:val="00837D9C"/>
    <w:rsid w:val="00837FA5"/>
    <w:rsid w:val="008442E8"/>
    <w:rsid w:val="0084630D"/>
    <w:rsid w:val="00846F5E"/>
    <w:rsid w:val="00847808"/>
    <w:rsid w:val="008616B4"/>
    <w:rsid w:val="0087249F"/>
    <w:rsid w:val="00876AC0"/>
    <w:rsid w:val="0087795B"/>
    <w:rsid w:val="00880B37"/>
    <w:rsid w:val="00881190"/>
    <w:rsid w:val="008842C2"/>
    <w:rsid w:val="008872E1"/>
    <w:rsid w:val="00891ECC"/>
    <w:rsid w:val="0089560A"/>
    <w:rsid w:val="008A0177"/>
    <w:rsid w:val="008A28C3"/>
    <w:rsid w:val="008A75ED"/>
    <w:rsid w:val="008B0FBE"/>
    <w:rsid w:val="008B4084"/>
    <w:rsid w:val="008B65B9"/>
    <w:rsid w:val="008C1886"/>
    <w:rsid w:val="008C5AA5"/>
    <w:rsid w:val="008C5C1D"/>
    <w:rsid w:val="008C6A87"/>
    <w:rsid w:val="008C72ED"/>
    <w:rsid w:val="008D44B8"/>
    <w:rsid w:val="008D7871"/>
    <w:rsid w:val="008E03E0"/>
    <w:rsid w:val="008F0235"/>
    <w:rsid w:val="008F195C"/>
    <w:rsid w:val="008F3FCB"/>
    <w:rsid w:val="008F4688"/>
    <w:rsid w:val="008F5D64"/>
    <w:rsid w:val="008F63F5"/>
    <w:rsid w:val="00900F01"/>
    <w:rsid w:val="00902E2B"/>
    <w:rsid w:val="00910167"/>
    <w:rsid w:val="00913A2F"/>
    <w:rsid w:val="009208EB"/>
    <w:rsid w:val="00923AD4"/>
    <w:rsid w:val="00924C4C"/>
    <w:rsid w:val="00940C03"/>
    <w:rsid w:val="0094782A"/>
    <w:rsid w:val="00953654"/>
    <w:rsid w:val="00955D36"/>
    <w:rsid w:val="0095701C"/>
    <w:rsid w:val="009615E9"/>
    <w:rsid w:val="00964DFF"/>
    <w:rsid w:val="009752FB"/>
    <w:rsid w:val="00980BD5"/>
    <w:rsid w:val="00984F83"/>
    <w:rsid w:val="00987FE2"/>
    <w:rsid w:val="009A10F7"/>
    <w:rsid w:val="009A6692"/>
    <w:rsid w:val="009B0576"/>
    <w:rsid w:val="009B0F7B"/>
    <w:rsid w:val="009B7A79"/>
    <w:rsid w:val="009C3A8A"/>
    <w:rsid w:val="009C4E8D"/>
    <w:rsid w:val="009C6909"/>
    <w:rsid w:val="009D01CC"/>
    <w:rsid w:val="009D0982"/>
    <w:rsid w:val="009D276C"/>
    <w:rsid w:val="009D32BE"/>
    <w:rsid w:val="009D7DB5"/>
    <w:rsid w:val="009E1103"/>
    <w:rsid w:val="009E1743"/>
    <w:rsid w:val="009E37A2"/>
    <w:rsid w:val="009F443C"/>
    <w:rsid w:val="009F4B83"/>
    <w:rsid w:val="009F5E8B"/>
    <w:rsid w:val="00A00F14"/>
    <w:rsid w:val="00A0129A"/>
    <w:rsid w:val="00A012A8"/>
    <w:rsid w:val="00A012E5"/>
    <w:rsid w:val="00A07449"/>
    <w:rsid w:val="00A076F0"/>
    <w:rsid w:val="00A11EBC"/>
    <w:rsid w:val="00A157AB"/>
    <w:rsid w:val="00A2077F"/>
    <w:rsid w:val="00A21161"/>
    <w:rsid w:val="00A227A0"/>
    <w:rsid w:val="00A255F1"/>
    <w:rsid w:val="00A50C74"/>
    <w:rsid w:val="00A513FF"/>
    <w:rsid w:val="00A535C9"/>
    <w:rsid w:val="00A541E6"/>
    <w:rsid w:val="00A55D97"/>
    <w:rsid w:val="00A57741"/>
    <w:rsid w:val="00A608AF"/>
    <w:rsid w:val="00A66553"/>
    <w:rsid w:val="00A67ADA"/>
    <w:rsid w:val="00A720D9"/>
    <w:rsid w:val="00A74478"/>
    <w:rsid w:val="00A7605B"/>
    <w:rsid w:val="00A843AA"/>
    <w:rsid w:val="00A84E6E"/>
    <w:rsid w:val="00A87BC1"/>
    <w:rsid w:val="00A87D66"/>
    <w:rsid w:val="00A91418"/>
    <w:rsid w:val="00A9353F"/>
    <w:rsid w:val="00A95A08"/>
    <w:rsid w:val="00A95BD2"/>
    <w:rsid w:val="00A97C57"/>
    <w:rsid w:val="00AA150D"/>
    <w:rsid w:val="00AC042E"/>
    <w:rsid w:val="00AC6476"/>
    <w:rsid w:val="00AC7A8D"/>
    <w:rsid w:val="00AC7F22"/>
    <w:rsid w:val="00AD3A99"/>
    <w:rsid w:val="00AE60DC"/>
    <w:rsid w:val="00AE74AC"/>
    <w:rsid w:val="00AF4FC6"/>
    <w:rsid w:val="00AF5D55"/>
    <w:rsid w:val="00B0338A"/>
    <w:rsid w:val="00B103CD"/>
    <w:rsid w:val="00B120EC"/>
    <w:rsid w:val="00B14844"/>
    <w:rsid w:val="00B174D0"/>
    <w:rsid w:val="00B178F5"/>
    <w:rsid w:val="00B20089"/>
    <w:rsid w:val="00B218DB"/>
    <w:rsid w:val="00B22540"/>
    <w:rsid w:val="00B2305E"/>
    <w:rsid w:val="00B2313D"/>
    <w:rsid w:val="00B23306"/>
    <w:rsid w:val="00B23688"/>
    <w:rsid w:val="00B27254"/>
    <w:rsid w:val="00B27A77"/>
    <w:rsid w:val="00B30F37"/>
    <w:rsid w:val="00B35FC0"/>
    <w:rsid w:val="00B41959"/>
    <w:rsid w:val="00B44A03"/>
    <w:rsid w:val="00B44B85"/>
    <w:rsid w:val="00B4767C"/>
    <w:rsid w:val="00B506B2"/>
    <w:rsid w:val="00B51BF9"/>
    <w:rsid w:val="00B53034"/>
    <w:rsid w:val="00B54605"/>
    <w:rsid w:val="00B561C7"/>
    <w:rsid w:val="00B60A27"/>
    <w:rsid w:val="00B66ED1"/>
    <w:rsid w:val="00B736CC"/>
    <w:rsid w:val="00B76538"/>
    <w:rsid w:val="00B779F5"/>
    <w:rsid w:val="00B8179C"/>
    <w:rsid w:val="00B83B2E"/>
    <w:rsid w:val="00B87D31"/>
    <w:rsid w:val="00B90872"/>
    <w:rsid w:val="00B92177"/>
    <w:rsid w:val="00B930A8"/>
    <w:rsid w:val="00B93C09"/>
    <w:rsid w:val="00BA46E3"/>
    <w:rsid w:val="00BB334F"/>
    <w:rsid w:val="00BC06D4"/>
    <w:rsid w:val="00BC2C99"/>
    <w:rsid w:val="00BC4744"/>
    <w:rsid w:val="00BC6DA1"/>
    <w:rsid w:val="00BC76E4"/>
    <w:rsid w:val="00BD1270"/>
    <w:rsid w:val="00BD4818"/>
    <w:rsid w:val="00BD51B8"/>
    <w:rsid w:val="00BD6B8B"/>
    <w:rsid w:val="00BE35F3"/>
    <w:rsid w:val="00BE633A"/>
    <w:rsid w:val="00BE6544"/>
    <w:rsid w:val="00BF3F80"/>
    <w:rsid w:val="00BF4173"/>
    <w:rsid w:val="00BF7AE7"/>
    <w:rsid w:val="00C0089C"/>
    <w:rsid w:val="00C012DF"/>
    <w:rsid w:val="00C01B02"/>
    <w:rsid w:val="00C1025F"/>
    <w:rsid w:val="00C10CDC"/>
    <w:rsid w:val="00C14319"/>
    <w:rsid w:val="00C14999"/>
    <w:rsid w:val="00C14ABB"/>
    <w:rsid w:val="00C22A74"/>
    <w:rsid w:val="00C23AD7"/>
    <w:rsid w:val="00C240CA"/>
    <w:rsid w:val="00C2568C"/>
    <w:rsid w:val="00C34CA4"/>
    <w:rsid w:val="00C4447F"/>
    <w:rsid w:val="00C553AB"/>
    <w:rsid w:val="00C579F9"/>
    <w:rsid w:val="00C639CA"/>
    <w:rsid w:val="00C6482D"/>
    <w:rsid w:val="00C727E3"/>
    <w:rsid w:val="00C808D7"/>
    <w:rsid w:val="00C87159"/>
    <w:rsid w:val="00C94CC4"/>
    <w:rsid w:val="00C95E00"/>
    <w:rsid w:val="00CA5AEC"/>
    <w:rsid w:val="00CA661D"/>
    <w:rsid w:val="00CA7E8E"/>
    <w:rsid w:val="00CB06C5"/>
    <w:rsid w:val="00CB0FDE"/>
    <w:rsid w:val="00CB32A8"/>
    <w:rsid w:val="00CB6F01"/>
    <w:rsid w:val="00CB707E"/>
    <w:rsid w:val="00CC6F0F"/>
    <w:rsid w:val="00CC7FD7"/>
    <w:rsid w:val="00CD42D0"/>
    <w:rsid w:val="00CE0286"/>
    <w:rsid w:val="00CF122B"/>
    <w:rsid w:val="00D029CC"/>
    <w:rsid w:val="00D046BF"/>
    <w:rsid w:val="00D07D35"/>
    <w:rsid w:val="00D112E6"/>
    <w:rsid w:val="00D13553"/>
    <w:rsid w:val="00D15FE0"/>
    <w:rsid w:val="00D16C49"/>
    <w:rsid w:val="00D174EF"/>
    <w:rsid w:val="00D22433"/>
    <w:rsid w:val="00D23778"/>
    <w:rsid w:val="00D23B44"/>
    <w:rsid w:val="00D25DC5"/>
    <w:rsid w:val="00D2751D"/>
    <w:rsid w:val="00D328B5"/>
    <w:rsid w:val="00D33A80"/>
    <w:rsid w:val="00D356B6"/>
    <w:rsid w:val="00D411C0"/>
    <w:rsid w:val="00D41397"/>
    <w:rsid w:val="00D43E2D"/>
    <w:rsid w:val="00D47224"/>
    <w:rsid w:val="00D561DB"/>
    <w:rsid w:val="00D6005B"/>
    <w:rsid w:val="00D60771"/>
    <w:rsid w:val="00D70946"/>
    <w:rsid w:val="00D7100A"/>
    <w:rsid w:val="00D71383"/>
    <w:rsid w:val="00D75E59"/>
    <w:rsid w:val="00D801F4"/>
    <w:rsid w:val="00D8619D"/>
    <w:rsid w:val="00D86201"/>
    <w:rsid w:val="00D86991"/>
    <w:rsid w:val="00D907E3"/>
    <w:rsid w:val="00D90E29"/>
    <w:rsid w:val="00D92C9C"/>
    <w:rsid w:val="00D93AC3"/>
    <w:rsid w:val="00D94C82"/>
    <w:rsid w:val="00DA08C1"/>
    <w:rsid w:val="00DB3D31"/>
    <w:rsid w:val="00DB44B3"/>
    <w:rsid w:val="00DB4ADF"/>
    <w:rsid w:val="00DC17A8"/>
    <w:rsid w:val="00DC71EA"/>
    <w:rsid w:val="00DC72D3"/>
    <w:rsid w:val="00DC7D0D"/>
    <w:rsid w:val="00DD0185"/>
    <w:rsid w:val="00DE6D61"/>
    <w:rsid w:val="00DE7736"/>
    <w:rsid w:val="00DF01CE"/>
    <w:rsid w:val="00DF2EC8"/>
    <w:rsid w:val="00DF335D"/>
    <w:rsid w:val="00DF6368"/>
    <w:rsid w:val="00DF77CF"/>
    <w:rsid w:val="00E034AA"/>
    <w:rsid w:val="00E06B16"/>
    <w:rsid w:val="00E10C01"/>
    <w:rsid w:val="00E118B7"/>
    <w:rsid w:val="00E156EF"/>
    <w:rsid w:val="00E15764"/>
    <w:rsid w:val="00E17239"/>
    <w:rsid w:val="00E22500"/>
    <w:rsid w:val="00E26DEC"/>
    <w:rsid w:val="00E30404"/>
    <w:rsid w:val="00E341E3"/>
    <w:rsid w:val="00E45C20"/>
    <w:rsid w:val="00E46CDE"/>
    <w:rsid w:val="00E50C40"/>
    <w:rsid w:val="00E51C65"/>
    <w:rsid w:val="00E527E9"/>
    <w:rsid w:val="00E6104E"/>
    <w:rsid w:val="00E61FA5"/>
    <w:rsid w:val="00E62CFA"/>
    <w:rsid w:val="00E63C59"/>
    <w:rsid w:val="00E6411A"/>
    <w:rsid w:val="00E662A1"/>
    <w:rsid w:val="00E719D9"/>
    <w:rsid w:val="00E752F3"/>
    <w:rsid w:val="00E80F06"/>
    <w:rsid w:val="00E816C2"/>
    <w:rsid w:val="00E83101"/>
    <w:rsid w:val="00E85C03"/>
    <w:rsid w:val="00E936F1"/>
    <w:rsid w:val="00E94B11"/>
    <w:rsid w:val="00E94C10"/>
    <w:rsid w:val="00E9542B"/>
    <w:rsid w:val="00EA20FF"/>
    <w:rsid w:val="00EB2814"/>
    <w:rsid w:val="00EB3B52"/>
    <w:rsid w:val="00EB5B9A"/>
    <w:rsid w:val="00EB62C4"/>
    <w:rsid w:val="00EC19BB"/>
    <w:rsid w:val="00EC3E57"/>
    <w:rsid w:val="00EC5966"/>
    <w:rsid w:val="00ED0801"/>
    <w:rsid w:val="00ED2687"/>
    <w:rsid w:val="00ED4BF1"/>
    <w:rsid w:val="00ED5C6D"/>
    <w:rsid w:val="00EE1BFC"/>
    <w:rsid w:val="00EE7725"/>
    <w:rsid w:val="00EE78E2"/>
    <w:rsid w:val="00EF2AFE"/>
    <w:rsid w:val="00EF5266"/>
    <w:rsid w:val="00F000B2"/>
    <w:rsid w:val="00F02698"/>
    <w:rsid w:val="00F04B80"/>
    <w:rsid w:val="00F07625"/>
    <w:rsid w:val="00F07A23"/>
    <w:rsid w:val="00F101BC"/>
    <w:rsid w:val="00F13A6A"/>
    <w:rsid w:val="00F171C6"/>
    <w:rsid w:val="00F20EA3"/>
    <w:rsid w:val="00F21FD8"/>
    <w:rsid w:val="00F279E2"/>
    <w:rsid w:val="00F27AF0"/>
    <w:rsid w:val="00F30CE2"/>
    <w:rsid w:val="00F30E5D"/>
    <w:rsid w:val="00F31521"/>
    <w:rsid w:val="00F31C3F"/>
    <w:rsid w:val="00F32113"/>
    <w:rsid w:val="00F337B6"/>
    <w:rsid w:val="00F33B67"/>
    <w:rsid w:val="00F371A7"/>
    <w:rsid w:val="00F37578"/>
    <w:rsid w:val="00F45402"/>
    <w:rsid w:val="00F46E43"/>
    <w:rsid w:val="00F57CA8"/>
    <w:rsid w:val="00F60043"/>
    <w:rsid w:val="00F647DC"/>
    <w:rsid w:val="00F71201"/>
    <w:rsid w:val="00F7697C"/>
    <w:rsid w:val="00F835CE"/>
    <w:rsid w:val="00F850EF"/>
    <w:rsid w:val="00F87886"/>
    <w:rsid w:val="00F90C49"/>
    <w:rsid w:val="00F9300C"/>
    <w:rsid w:val="00F93E0A"/>
    <w:rsid w:val="00F97810"/>
    <w:rsid w:val="00FA16AB"/>
    <w:rsid w:val="00FA3D08"/>
    <w:rsid w:val="00FA48BC"/>
    <w:rsid w:val="00FA4EF3"/>
    <w:rsid w:val="00FA530F"/>
    <w:rsid w:val="00FA797D"/>
    <w:rsid w:val="00FA7F9B"/>
    <w:rsid w:val="00FC251C"/>
    <w:rsid w:val="00FC27EF"/>
    <w:rsid w:val="00FC4180"/>
    <w:rsid w:val="00FC7672"/>
    <w:rsid w:val="00FD1743"/>
    <w:rsid w:val="00FD2E87"/>
    <w:rsid w:val="00FD3D7C"/>
    <w:rsid w:val="00FE51E9"/>
    <w:rsid w:val="00FE7E7A"/>
    <w:rsid w:val="00FF4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E8"/>
    <w:pPr>
      <w:spacing w:line="288" w:lineRule="auto"/>
      <w:jc w:val="both"/>
    </w:pPr>
    <w:rPr>
      <w:sz w:val="22"/>
      <w:szCs w:val="22"/>
      <w:lang w:eastAsia="en-US" w:bidi="ar-SA"/>
    </w:rPr>
  </w:style>
  <w:style w:type="paragraph" w:styleId="Heading1">
    <w:name w:val="heading 1"/>
    <w:basedOn w:val="Normal"/>
    <w:next w:val="Normal"/>
    <w:link w:val="Heading1Char"/>
    <w:qFormat/>
    <w:rsid w:val="008442E8"/>
    <w:pPr>
      <w:numPr>
        <w:numId w:val="1"/>
      </w:numPr>
      <w:ind w:left="567" w:hanging="567"/>
      <w:outlineLvl w:val="0"/>
    </w:pPr>
    <w:rPr>
      <w:kern w:val="28"/>
    </w:rPr>
  </w:style>
  <w:style w:type="paragraph" w:styleId="Heading2">
    <w:name w:val="heading 2"/>
    <w:basedOn w:val="Normal"/>
    <w:next w:val="Normal"/>
    <w:link w:val="Heading2Char"/>
    <w:qFormat/>
    <w:rsid w:val="008442E8"/>
    <w:pPr>
      <w:numPr>
        <w:ilvl w:val="1"/>
        <w:numId w:val="1"/>
      </w:numPr>
      <w:ind w:left="567" w:hanging="567"/>
      <w:outlineLvl w:val="1"/>
    </w:pPr>
  </w:style>
  <w:style w:type="paragraph" w:styleId="Heading3">
    <w:name w:val="heading 3"/>
    <w:basedOn w:val="Normal"/>
    <w:next w:val="Normal"/>
    <w:link w:val="Heading3Char"/>
    <w:qFormat/>
    <w:rsid w:val="008442E8"/>
    <w:pPr>
      <w:numPr>
        <w:ilvl w:val="2"/>
        <w:numId w:val="1"/>
      </w:numPr>
      <w:ind w:left="567" w:hanging="567"/>
      <w:outlineLvl w:val="2"/>
    </w:pPr>
  </w:style>
  <w:style w:type="paragraph" w:styleId="Heading4">
    <w:name w:val="heading 4"/>
    <w:basedOn w:val="Normal"/>
    <w:next w:val="Normal"/>
    <w:link w:val="Heading4Char"/>
    <w:qFormat/>
    <w:rsid w:val="008442E8"/>
    <w:pPr>
      <w:numPr>
        <w:ilvl w:val="3"/>
        <w:numId w:val="1"/>
      </w:numPr>
      <w:ind w:left="567" w:hanging="567"/>
      <w:outlineLvl w:val="3"/>
    </w:pPr>
  </w:style>
  <w:style w:type="paragraph" w:styleId="Heading5">
    <w:name w:val="heading 5"/>
    <w:basedOn w:val="Normal"/>
    <w:next w:val="Normal"/>
    <w:link w:val="Heading5Char"/>
    <w:qFormat/>
    <w:rsid w:val="008442E8"/>
    <w:pPr>
      <w:numPr>
        <w:ilvl w:val="4"/>
        <w:numId w:val="1"/>
      </w:numPr>
      <w:ind w:left="567" w:hanging="567"/>
      <w:outlineLvl w:val="4"/>
    </w:pPr>
  </w:style>
  <w:style w:type="paragraph" w:styleId="Heading6">
    <w:name w:val="heading 6"/>
    <w:basedOn w:val="Normal"/>
    <w:next w:val="Normal"/>
    <w:link w:val="Heading6Char"/>
    <w:qFormat/>
    <w:rsid w:val="008442E8"/>
    <w:pPr>
      <w:numPr>
        <w:ilvl w:val="5"/>
        <w:numId w:val="1"/>
      </w:numPr>
      <w:ind w:left="567" w:hanging="567"/>
      <w:outlineLvl w:val="5"/>
    </w:pPr>
  </w:style>
  <w:style w:type="paragraph" w:styleId="Heading7">
    <w:name w:val="heading 7"/>
    <w:basedOn w:val="Normal"/>
    <w:next w:val="Normal"/>
    <w:link w:val="Heading7Char"/>
    <w:qFormat/>
    <w:rsid w:val="008442E8"/>
    <w:pPr>
      <w:numPr>
        <w:ilvl w:val="6"/>
        <w:numId w:val="1"/>
      </w:numPr>
      <w:ind w:left="567" w:hanging="567"/>
      <w:outlineLvl w:val="6"/>
    </w:pPr>
  </w:style>
  <w:style w:type="paragraph" w:styleId="Heading8">
    <w:name w:val="heading 8"/>
    <w:basedOn w:val="Normal"/>
    <w:next w:val="Normal"/>
    <w:link w:val="Heading8Char"/>
    <w:qFormat/>
    <w:rsid w:val="008442E8"/>
    <w:pPr>
      <w:numPr>
        <w:ilvl w:val="7"/>
        <w:numId w:val="1"/>
      </w:numPr>
      <w:ind w:left="567" w:hanging="567"/>
      <w:outlineLvl w:val="7"/>
    </w:pPr>
  </w:style>
  <w:style w:type="paragraph" w:styleId="Heading9">
    <w:name w:val="heading 9"/>
    <w:basedOn w:val="Normal"/>
    <w:next w:val="Normal"/>
    <w:link w:val="Heading9Char"/>
    <w:qFormat/>
    <w:rsid w:val="008442E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585"/>
    <w:rPr>
      <w:kern w:val="28"/>
      <w:sz w:val="22"/>
      <w:szCs w:val="22"/>
      <w:lang w:val="en-US" w:eastAsia="en-US" w:bidi="ar-SA"/>
    </w:rPr>
  </w:style>
  <w:style w:type="character" w:customStyle="1" w:styleId="Heading2Char">
    <w:name w:val="Heading 2 Char"/>
    <w:basedOn w:val="DefaultParagraphFont"/>
    <w:link w:val="Heading2"/>
    <w:rsid w:val="00DD6585"/>
    <w:rPr>
      <w:sz w:val="22"/>
      <w:szCs w:val="22"/>
      <w:lang w:val="en-US" w:eastAsia="en-US" w:bidi="ar-SA"/>
    </w:rPr>
  </w:style>
  <w:style w:type="character" w:customStyle="1" w:styleId="Heading3Char">
    <w:name w:val="Heading 3 Char"/>
    <w:basedOn w:val="DefaultParagraphFont"/>
    <w:link w:val="Heading3"/>
    <w:rsid w:val="00DD6585"/>
    <w:rPr>
      <w:sz w:val="22"/>
      <w:szCs w:val="22"/>
      <w:lang w:val="en-US" w:eastAsia="en-US" w:bidi="ar-SA"/>
    </w:rPr>
  </w:style>
  <w:style w:type="character" w:customStyle="1" w:styleId="Heading4Char">
    <w:name w:val="Heading 4 Char"/>
    <w:basedOn w:val="DefaultParagraphFont"/>
    <w:link w:val="Heading4"/>
    <w:rsid w:val="00DD6585"/>
    <w:rPr>
      <w:sz w:val="22"/>
      <w:szCs w:val="22"/>
      <w:lang w:val="en-US" w:eastAsia="en-US" w:bidi="ar-SA"/>
    </w:rPr>
  </w:style>
  <w:style w:type="character" w:customStyle="1" w:styleId="Heading5Char">
    <w:name w:val="Heading 5 Char"/>
    <w:basedOn w:val="DefaultParagraphFont"/>
    <w:link w:val="Heading5"/>
    <w:rsid w:val="00DD6585"/>
    <w:rPr>
      <w:sz w:val="22"/>
      <w:szCs w:val="22"/>
      <w:lang w:val="en-US" w:eastAsia="en-US" w:bidi="ar-SA"/>
    </w:rPr>
  </w:style>
  <w:style w:type="character" w:customStyle="1" w:styleId="Heading6Char">
    <w:name w:val="Heading 6 Char"/>
    <w:basedOn w:val="DefaultParagraphFont"/>
    <w:link w:val="Heading6"/>
    <w:rsid w:val="00DD6585"/>
    <w:rPr>
      <w:sz w:val="22"/>
      <w:szCs w:val="22"/>
      <w:lang w:val="en-US" w:eastAsia="en-US" w:bidi="ar-SA"/>
    </w:rPr>
  </w:style>
  <w:style w:type="character" w:customStyle="1" w:styleId="Heading7Char">
    <w:name w:val="Heading 7 Char"/>
    <w:basedOn w:val="DefaultParagraphFont"/>
    <w:link w:val="Heading7"/>
    <w:rsid w:val="00DD6585"/>
    <w:rPr>
      <w:sz w:val="22"/>
      <w:szCs w:val="22"/>
      <w:lang w:val="en-US" w:eastAsia="en-US" w:bidi="ar-SA"/>
    </w:rPr>
  </w:style>
  <w:style w:type="character" w:customStyle="1" w:styleId="Heading8Char">
    <w:name w:val="Heading 8 Char"/>
    <w:basedOn w:val="DefaultParagraphFont"/>
    <w:link w:val="Heading8"/>
    <w:rsid w:val="00DD6585"/>
    <w:rPr>
      <w:sz w:val="22"/>
      <w:szCs w:val="22"/>
      <w:lang w:val="en-US" w:eastAsia="en-US" w:bidi="ar-SA"/>
    </w:rPr>
  </w:style>
  <w:style w:type="character" w:customStyle="1" w:styleId="Heading9Char">
    <w:name w:val="Heading 9 Char"/>
    <w:basedOn w:val="DefaultParagraphFont"/>
    <w:link w:val="Heading9"/>
    <w:rsid w:val="00DD6585"/>
    <w:rPr>
      <w:sz w:val="22"/>
      <w:szCs w:val="22"/>
      <w:lang w:val="en-US" w:eastAsia="en-US" w:bidi="ar-SA"/>
    </w:rPr>
  </w:style>
  <w:style w:type="paragraph" w:styleId="Footer">
    <w:name w:val="footer"/>
    <w:basedOn w:val="Normal"/>
    <w:link w:val="FooterChar"/>
    <w:qFormat/>
    <w:rsid w:val="008442E8"/>
  </w:style>
  <w:style w:type="character" w:customStyle="1" w:styleId="FooterChar">
    <w:name w:val="Footer Char"/>
    <w:basedOn w:val="DefaultParagraphFont"/>
    <w:link w:val="Footer"/>
    <w:rsid w:val="00DD6585"/>
    <w:rPr>
      <w:sz w:val="22"/>
      <w:szCs w:val="22"/>
      <w:lang w:eastAsia="en-US" w:bidi="ar-SA"/>
    </w:rPr>
  </w:style>
  <w:style w:type="paragraph" w:styleId="FootnoteText">
    <w:name w:val="footnote text"/>
    <w:basedOn w:val="Normal"/>
    <w:link w:val="FootnoteTextChar"/>
    <w:qFormat/>
    <w:rsid w:val="008442E8"/>
    <w:pPr>
      <w:keepLines/>
      <w:spacing w:after="60" w:line="240" w:lineRule="auto"/>
      <w:ind w:left="567" w:hanging="567"/>
    </w:pPr>
    <w:rPr>
      <w:sz w:val="16"/>
    </w:rPr>
  </w:style>
  <w:style w:type="character" w:customStyle="1" w:styleId="FootnoteTextChar">
    <w:name w:val="Footnote Text Char"/>
    <w:basedOn w:val="DefaultParagraphFont"/>
    <w:link w:val="FootnoteText"/>
    <w:rsid w:val="00DD6585"/>
    <w:rPr>
      <w:sz w:val="16"/>
      <w:szCs w:val="22"/>
      <w:lang w:val="en-US" w:eastAsia="en-US" w:bidi="ar-SA"/>
    </w:rPr>
  </w:style>
  <w:style w:type="paragraph" w:styleId="Header">
    <w:name w:val="header"/>
    <w:basedOn w:val="Normal"/>
    <w:link w:val="HeaderChar"/>
    <w:qFormat/>
    <w:rsid w:val="008442E8"/>
  </w:style>
  <w:style w:type="character" w:customStyle="1" w:styleId="HeaderChar">
    <w:name w:val="Header Char"/>
    <w:basedOn w:val="DefaultParagraphFont"/>
    <w:link w:val="Header"/>
    <w:rsid w:val="00DD6585"/>
    <w:rPr>
      <w:sz w:val="22"/>
      <w:szCs w:val="22"/>
      <w:lang w:eastAsia="en-US" w:bidi="ar-SA"/>
    </w:rPr>
  </w:style>
  <w:style w:type="character" w:styleId="Hyperlink">
    <w:name w:val="Hyperlink"/>
    <w:basedOn w:val="DefaultParagraphFont"/>
    <w:uiPriority w:val="99"/>
    <w:rsid w:val="00D22433"/>
    <w:rPr>
      <w:color w:val="0000FF"/>
      <w:u w:val="single"/>
    </w:rPr>
  </w:style>
  <w:style w:type="character" w:styleId="FootnoteReference">
    <w:name w:val="footnote reference"/>
    <w:basedOn w:val="DefaultParagraphFont"/>
    <w:unhideWhenUsed/>
    <w:qFormat/>
    <w:rsid w:val="008442E8"/>
    <w:rPr>
      <w:sz w:val="24"/>
      <w:vertAlign w:val="superscript"/>
    </w:rPr>
  </w:style>
  <w:style w:type="character" w:styleId="FollowedHyperlink">
    <w:name w:val="FollowedHyperlink"/>
    <w:basedOn w:val="DefaultParagraphFont"/>
    <w:uiPriority w:val="99"/>
    <w:rsid w:val="00D22433"/>
    <w:rPr>
      <w:color w:val="800080"/>
      <w:u w:val="single"/>
    </w:rPr>
  </w:style>
  <w:style w:type="paragraph" w:customStyle="1" w:styleId="LOGO">
    <w:name w:val="LOGO"/>
    <w:basedOn w:val="Normal"/>
    <w:rsid w:val="00D22433"/>
    <w:pPr>
      <w:jc w:val="center"/>
    </w:pPr>
    <w:rPr>
      <w:rFonts w:ascii="Arial" w:hAnsi="Arial"/>
      <w:b/>
      <w:i/>
      <w:sz w:val="20"/>
    </w:rPr>
  </w:style>
  <w:style w:type="paragraph" w:styleId="ListParagraph">
    <w:name w:val="List Paragraph"/>
    <w:basedOn w:val="Normal"/>
    <w:uiPriority w:val="34"/>
    <w:qFormat/>
    <w:rsid w:val="00507772"/>
    <w:pPr>
      <w:ind w:left="720"/>
      <w:contextualSpacing/>
    </w:pPr>
  </w:style>
  <w:style w:type="paragraph" w:customStyle="1" w:styleId="quotes">
    <w:name w:val="quotes"/>
    <w:basedOn w:val="Normal"/>
    <w:next w:val="Normal"/>
    <w:rsid w:val="008442E8"/>
    <w:pPr>
      <w:ind w:left="720"/>
    </w:pPr>
    <w:rPr>
      <w:i/>
    </w:rPr>
  </w:style>
  <w:style w:type="paragraph" w:styleId="Revision">
    <w:name w:val="Revision"/>
    <w:hidden/>
    <w:uiPriority w:val="99"/>
    <w:semiHidden/>
    <w:rsid w:val="00607D67"/>
    <w:rPr>
      <w:sz w:val="22"/>
      <w:szCs w:val="22"/>
      <w:lang w:eastAsia="en-US" w:bidi="ar-SA"/>
    </w:rPr>
  </w:style>
  <w:style w:type="table" w:styleId="TableGrid">
    <w:name w:val="Table Grid"/>
    <w:basedOn w:val="TableNormal"/>
    <w:rsid w:val="006672CB"/>
    <w:pPr>
      <w:overflowPunct w:val="0"/>
      <w:autoSpaceDE w:val="0"/>
      <w:autoSpaceDN w:val="0"/>
      <w:adjustRightInd w:val="0"/>
      <w:spacing w:line="288" w:lineRule="auto"/>
      <w:jc w:val="both"/>
    </w:pPr>
    <w:rPr>
      <w:lang w:val="fr-BE" w:eastAsia="fr-BE"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42E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442E8"/>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E8"/>
    <w:pPr>
      <w:spacing w:line="288" w:lineRule="auto"/>
      <w:jc w:val="both"/>
    </w:pPr>
    <w:rPr>
      <w:sz w:val="22"/>
      <w:szCs w:val="22"/>
      <w:lang w:eastAsia="en-US" w:bidi="ar-SA"/>
    </w:rPr>
  </w:style>
  <w:style w:type="paragraph" w:styleId="Heading1">
    <w:name w:val="heading 1"/>
    <w:basedOn w:val="Normal"/>
    <w:next w:val="Normal"/>
    <w:link w:val="Heading1Char"/>
    <w:qFormat/>
    <w:rsid w:val="008442E8"/>
    <w:pPr>
      <w:numPr>
        <w:numId w:val="1"/>
      </w:numPr>
      <w:ind w:left="567" w:hanging="567"/>
      <w:outlineLvl w:val="0"/>
    </w:pPr>
    <w:rPr>
      <w:kern w:val="28"/>
    </w:rPr>
  </w:style>
  <w:style w:type="paragraph" w:styleId="Heading2">
    <w:name w:val="heading 2"/>
    <w:basedOn w:val="Normal"/>
    <w:next w:val="Normal"/>
    <w:link w:val="Heading2Char"/>
    <w:qFormat/>
    <w:rsid w:val="008442E8"/>
    <w:pPr>
      <w:numPr>
        <w:ilvl w:val="1"/>
        <w:numId w:val="1"/>
      </w:numPr>
      <w:ind w:left="567" w:hanging="567"/>
      <w:outlineLvl w:val="1"/>
    </w:pPr>
  </w:style>
  <w:style w:type="paragraph" w:styleId="Heading3">
    <w:name w:val="heading 3"/>
    <w:basedOn w:val="Normal"/>
    <w:next w:val="Normal"/>
    <w:link w:val="Heading3Char"/>
    <w:qFormat/>
    <w:rsid w:val="008442E8"/>
    <w:pPr>
      <w:numPr>
        <w:ilvl w:val="2"/>
        <w:numId w:val="1"/>
      </w:numPr>
      <w:ind w:left="567" w:hanging="567"/>
      <w:outlineLvl w:val="2"/>
    </w:pPr>
  </w:style>
  <w:style w:type="paragraph" w:styleId="Heading4">
    <w:name w:val="heading 4"/>
    <w:basedOn w:val="Normal"/>
    <w:next w:val="Normal"/>
    <w:link w:val="Heading4Char"/>
    <w:qFormat/>
    <w:rsid w:val="008442E8"/>
    <w:pPr>
      <w:numPr>
        <w:ilvl w:val="3"/>
        <w:numId w:val="1"/>
      </w:numPr>
      <w:ind w:left="567" w:hanging="567"/>
      <w:outlineLvl w:val="3"/>
    </w:pPr>
  </w:style>
  <w:style w:type="paragraph" w:styleId="Heading5">
    <w:name w:val="heading 5"/>
    <w:basedOn w:val="Normal"/>
    <w:next w:val="Normal"/>
    <w:link w:val="Heading5Char"/>
    <w:qFormat/>
    <w:rsid w:val="008442E8"/>
    <w:pPr>
      <w:numPr>
        <w:ilvl w:val="4"/>
        <w:numId w:val="1"/>
      </w:numPr>
      <w:ind w:left="567" w:hanging="567"/>
      <w:outlineLvl w:val="4"/>
    </w:pPr>
  </w:style>
  <w:style w:type="paragraph" w:styleId="Heading6">
    <w:name w:val="heading 6"/>
    <w:basedOn w:val="Normal"/>
    <w:next w:val="Normal"/>
    <w:link w:val="Heading6Char"/>
    <w:qFormat/>
    <w:rsid w:val="008442E8"/>
    <w:pPr>
      <w:numPr>
        <w:ilvl w:val="5"/>
        <w:numId w:val="1"/>
      </w:numPr>
      <w:ind w:left="567" w:hanging="567"/>
      <w:outlineLvl w:val="5"/>
    </w:pPr>
  </w:style>
  <w:style w:type="paragraph" w:styleId="Heading7">
    <w:name w:val="heading 7"/>
    <w:basedOn w:val="Normal"/>
    <w:next w:val="Normal"/>
    <w:link w:val="Heading7Char"/>
    <w:qFormat/>
    <w:rsid w:val="008442E8"/>
    <w:pPr>
      <w:numPr>
        <w:ilvl w:val="6"/>
        <w:numId w:val="1"/>
      </w:numPr>
      <w:ind w:left="567" w:hanging="567"/>
      <w:outlineLvl w:val="6"/>
    </w:pPr>
  </w:style>
  <w:style w:type="paragraph" w:styleId="Heading8">
    <w:name w:val="heading 8"/>
    <w:basedOn w:val="Normal"/>
    <w:next w:val="Normal"/>
    <w:link w:val="Heading8Char"/>
    <w:qFormat/>
    <w:rsid w:val="008442E8"/>
    <w:pPr>
      <w:numPr>
        <w:ilvl w:val="7"/>
        <w:numId w:val="1"/>
      </w:numPr>
      <w:ind w:left="567" w:hanging="567"/>
      <w:outlineLvl w:val="7"/>
    </w:pPr>
  </w:style>
  <w:style w:type="paragraph" w:styleId="Heading9">
    <w:name w:val="heading 9"/>
    <w:basedOn w:val="Normal"/>
    <w:next w:val="Normal"/>
    <w:link w:val="Heading9Char"/>
    <w:qFormat/>
    <w:rsid w:val="008442E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585"/>
    <w:rPr>
      <w:kern w:val="28"/>
      <w:sz w:val="22"/>
      <w:szCs w:val="22"/>
      <w:lang w:val="en-US" w:eastAsia="en-US" w:bidi="ar-SA"/>
    </w:rPr>
  </w:style>
  <w:style w:type="character" w:customStyle="1" w:styleId="Heading2Char">
    <w:name w:val="Heading 2 Char"/>
    <w:basedOn w:val="DefaultParagraphFont"/>
    <w:link w:val="Heading2"/>
    <w:rsid w:val="00DD6585"/>
    <w:rPr>
      <w:sz w:val="22"/>
      <w:szCs w:val="22"/>
      <w:lang w:val="en-US" w:eastAsia="en-US" w:bidi="ar-SA"/>
    </w:rPr>
  </w:style>
  <w:style w:type="character" w:customStyle="1" w:styleId="Heading3Char">
    <w:name w:val="Heading 3 Char"/>
    <w:basedOn w:val="DefaultParagraphFont"/>
    <w:link w:val="Heading3"/>
    <w:rsid w:val="00DD6585"/>
    <w:rPr>
      <w:sz w:val="22"/>
      <w:szCs w:val="22"/>
      <w:lang w:val="en-US" w:eastAsia="en-US" w:bidi="ar-SA"/>
    </w:rPr>
  </w:style>
  <w:style w:type="character" w:customStyle="1" w:styleId="Heading4Char">
    <w:name w:val="Heading 4 Char"/>
    <w:basedOn w:val="DefaultParagraphFont"/>
    <w:link w:val="Heading4"/>
    <w:rsid w:val="00DD6585"/>
    <w:rPr>
      <w:sz w:val="22"/>
      <w:szCs w:val="22"/>
      <w:lang w:val="en-US" w:eastAsia="en-US" w:bidi="ar-SA"/>
    </w:rPr>
  </w:style>
  <w:style w:type="character" w:customStyle="1" w:styleId="Heading5Char">
    <w:name w:val="Heading 5 Char"/>
    <w:basedOn w:val="DefaultParagraphFont"/>
    <w:link w:val="Heading5"/>
    <w:rsid w:val="00DD6585"/>
    <w:rPr>
      <w:sz w:val="22"/>
      <w:szCs w:val="22"/>
      <w:lang w:val="en-US" w:eastAsia="en-US" w:bidi="ar-SA"/>
    </w:rPr>
  </w:style>
  <w:style w:type="character" w:customStyle="1" w:styleId="Heading6Char">
    <w:name w:val="Heading 6 Char"/>
    <w:basedOn w:val="DefaultParagraphFont"/>
    <w:link w:val="Heading6"/>
    <w:rsid w:val="00DD6585"/>
    <w:rPr>
      <w:sz w:val="22"/>
      <w:szCs w:val="22"/>
      <w:lang w:val="en-US" w:eastAsia="en-US" w:bidi="ar-SA"/>
    </w:rPr>
  </w:style>
  <w:style w:type="character" w:customStyle="1" w:styleId="Heading7Char">
    <w:name w:val="Heading 7 Char"/>
    <w:basedOn w:val="DefaultParagraphFont"/>
    <w:link w:val="Heading7"/>
    <w:rsid w:val="00DD6585"/>
    <w:rPr>
      <w:sz w:val="22"/>
      <w:szCs w:val="22"/>
      <w:lang w:val="en-US" w:eastAsia="en-US" w:bidi="ar-SA"/>
    </w:rPr>
  </w:style>
  <w:style w:type="character" w:customStyle="1" w:styleId="Heading8Char">
    <w:name w:val="Heading 8 Char"/>
    <w:basedOn w:val="DefaultParagraphFont"/>
    <w:link w:val="Heading8"/>
    <w:rsid w:val="00DD6585"/>
    <w:rPr>
      <w:sz w:val="22"/>
      <w:szCs w:val="22"/>
      <w:lang w:val="en-US" w:eastAsia="en-US" w:bidi="ar-SA"/>
    </w:rPr>
  </w:style>
  <w:style w:type="character" w:customStyle="1" w:styleId="Heading9Char">
    <w:name w:val="Heading 9 Char"/>
    <w:basedOn w:val="DefaultParagraphFont"/>
    <w:link w:val="Heading9"/>
    <w:rsid w:val="00DD6585"/>
    <w:rPr>
      <w:sz w:val="22"/>
      <w:szCs w:val="22"/>
      <w:lang w:val="en-US" w:eastAsia="en-US" w:bidi="ar-SA"/>
    </w:rPr>
  </w:style>
  <w:style w:type="paragraph" w:styleId="Footer">
    <w:name w:val="footer"/>
    <w:basedOn w:val="Normal"/>
    <w:link w:val="FooterChar"/>
    <w:qFormat/>
    <w:rsid w:val="008442E8"/>
  </w:style>
  <w:style w:type="character" w:customStyle="1" w:styleId="FooterChar">
    <w:name w:val="Footer Char"/>
    <w:basedOn w:val="DefaultParagraphFont"/>
    <w:link w:val="Footer"/>
    <w:rsid w:val="00DD6585"/>
    <w:rPr>
      <w:sz w:val="22"/>
      <w:szCs w:val="22"/>
      <w:lang w:eastAsia="en-US" w:bidi="ar-SA"/>
    </w:rPr>
  </w:style>
  <w:style w:type="paragraph" w:styleId="FootnoteText">
    <w:name w:val="footnote text"/>
    <w:basedOn w:val="Normal"/>
    <w:link w:val="FootnoteTextChar"/>
    <w:qFormat/>
    <w:rsid w:val="008442E8"/>
    <w:pPr>
      <w:keepLines/>
      <w:spacing w:after="60" w:line="240" w:lineRule="auto"/>
      <w:ind w:left="567" w:hanging="567"/>
    </w:pPr>
    <w:rPr>
      <w:sz w:val="16"/>
    </w:rPr>
  </w:style>
  <w:style w:type="character" w:customStyle="1" w:styleId="FootnoteTextChar">
    <w:name w:val="Footnote Text Char"/>
    <w:basedOn w:val="DefaultParagraphFont"/>
    <w:link w:val="FootnoteText"/>
    <w:rsid w:val="00DD6585"/>
    <w:rPr>
      <w:sz w:val="16"/>
      <w:szCs w:val="22"/>
      <w:lang w:val="en-US" w:eastAsia="en-US" w:bidi="ar-SA"/>
    </w:rPr>
  </w:style>
  <w:style w:type="paragraph" w:styleId="Header">
    <w:name w:val="header"/>
    <w:basedOn w:val="Normal"/>
    <w:link w:val="HeaderChar"/>
    <w:qFormat/>
    <w:rsid w:val="008442E8"/>
  </w:style>
  <w:style w:type="character" w:customStyle="1" w:styleId="HeaderChar">
    <w:name w:val="Header Char"/>
    <w:basedOn w:val="DefaultParagraphFont"/>
    <w:link w:val="Header"/>
    <w:rsid w:val="00DD6585"/>
    <w:rPr>
      <w:sz w:val="22"/>
      <w:szCs w:val="22"/>
      <w:lang w:eastAsia="en-US" w:bidi="ar-SA"/>
    </w:rPr>
  </w:style>
  <w:style w:type="character" w:styleId="Hyperlink">
    <w:name w:val="Hyperlink"/>
    <w:basedOn w:val="DefaultParagraphFont"/>
    <w:uiPriority w:val="99"/>
    <w:rsid w:val="00D22433"/>
    <w:rPr>
      <w:color w:val="0000FF"/>
      <w:u w:val="single"/>
    </w:rPr>
  </w:style>
  <w:style w:type="character" w:styleId="FootnoteReference">
    <w:name w:val="footnote reference"/>
    <w:basedOn w:val="DefaultParagraphFont"/>
    <w:unhideWhenUsed/>
    <w:qFormat/>
    <w:rsid w:val="008442E8"/>
    <w:rPr>
      <w:sz w:val="24"/>
      <w:vertAlign w:val="superscript"/>
    </w:rPr>
  </w:style>
  <w:style w:type="character" w:styleId="FollowedHyperlink">
    <w:name w:val="FollowedHyperlink"/>
    <w:basedOn w:val="DefaultParagraphFont"/>
    <w:uiPriority w:val="99"/>
    <w:rsid w:val="00D22433"/>
    <w:rPr>
      <w:color w:val="800080"/>
      <w:u w:val="single"/>
    </w:rPr>
  </w:style>
  <w:style w:type="paragraph" w:customStyle="1" w:styleId="LOGO">
    <w:name w:val="LOGO"/>
    <w:basedOn w:val="Normal"/>
    <w:rsid w:val="00D22433"/>
    <w:pPr>
      <w:jc w:val="center"/>
    </w:pPr>
    <w:rPr>
      <w:rFonts w:ascii="Arial" w:hAnsi="Arial"/>
      <w:b/>
      <w:i/>
      <w:sz w:val="20"/>
    </w:rPr>
  </w:style>
  <w:style w:type="paragraph" w:styleId="ListParagraph">
    <w:name w:val="List Paragraph"/>
    <w:basedOn w:val="Normal"/>
    <w:uiPriority w:val="34"/>
    <w:qFormat/>
    <w:rsid w:val="00507772"/>
    <w:pPr>
      <w:ind w:left="720"/>
      <w:contextualSpacing/>
    </w:pPr>
  </w:style>
  <w:style w:type="paragraph" w:customStyle="1" w:styleId="quotes">
    <w:name w:val="quotes"/>
    <w:basedOn w:val="Normal"/>
    <w:next w:val="Normal"/>
    <w:rsid w:val="008442E8"/>
    <w:pPr>
      <w:ind w:left="720"/>
    </w:pPr>
    <w:rPr>
      <w:i/>
    </w:rPr>
  </w:style>
  <w:style w:type="paragraph" w:styleId="Revision">
    <w:name w:val="Revision"/>
    <w:hidden/>
    <w:uiPriority w:val="99"/>
    <w:semiHidden/>
    <w:rsid w:val="00607D67"/>
    <w:rPr>
      <w:sz w:val="22"/>
      <w:szCs w:val="22"/>
      <w:lang w:eastAsia="en-US" w:bidi="ar-SA"/>
    </w:rPr>
  </w:style>
  <w:style w:type="table" w:styleId="TableGrid">
    <w:name w:val="Table Grid"/>
    <w:basedOn w:val="TableNormal"/>
    <w:rsid w:val="006672CB"/>
    <w:pPr>
      <w:overflowPunct w:val="0"/>
      <w:autoSpaceDE w:val="0"/>
      <w:autoSpaceDN w:val="0"/>
      <w:adjustRightInd w:val="0"/>
      <w:spacing w:line="288" w:lineRule="auto"/>
      <w:jc w:val="both"/>
    </w:pPr>
    <w:rPr>
      <w:lang w:val="fr-BE" w:eastAsia="fr-BE"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42E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442E8"/>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734">
      <w:bodyDiv w:val="1"/>
      <w:marLeft w:val="0"/>
      <w:marRight w:val="0"/>
      <w:marTop w:val="0"/>
      <w:marBottom w:val="0"/>
      <w:divBdr>
        <w:top w:val="none" w:sz="0" w:space="0" w:color="auto"/>
        <w:left w:val="none" w:sz="0" w:space="0" w:color="auto"/>
        <w:bottom w:val="none" w:sz="0" w:space="0" w:color="auto"/>
        <w:right w:val="none" w:sz="0" w:space="0" w:color="auto"/>
      </w:divBdr>
    </w:div>
    <w:div w:id="166946335">
      <w:bodyDiv w:val="1"/>
      <w:marLeft w:val="0"/>
      <w:marRight w:val="0"/>
      <w:marTop w:val="0"/>
      <w:marBottom w:val="0"/>
      <w:divBdr>
        <w:top w:val="none" w:sz="0" w:space="0" w:color="auto"/>
        <w:left w:val="none" w:sz="0" w:space="0" w:color="auto"/>
        <w:bottom w:val="none" w:sz="0" w:space="0" w:color="auto"/>
        <w:right w:val="none" w:sz="0" w:space="0" w:color="auto"/>
      </w:divBdr>
      <w:divsChild>
        <w:div w:id="792407668">
          <w:marLeft w:val="720"/>
          <w:marRight w:val="0"/>
          <w:marTop w:val="200"/>
          <w:marBottom w:val="360"/>
          <w:divBdr>
            <w:top w:val="none" w:sz="0" w:space="0" w:color="auto"/>
            <w:left w:val="none" w:sz="0" w:space="0" w:color="auto"/>
            <w:bottom w:val="none" w:sz="0" w:space="0" w:color="auto"/>
            <w:right w:val="none" w:sz="0" w:space="0" w:color="auto"/>
          </w:divBdr>
        </w:div>
        <w:div w:id="1006202081">
          <w:marLeft w:val="720"/>
          <w:marRight w:val="0"/>
          <w:marTop w:val="200"/>
          <w:marBottom w:val="360"/>
          <w:divBdr>
            <w:top w:val="none" w:sz="0" w:space="0" w:color="auto"/>
            <w:left w:val="none" w:sz="0" w:space="0" w:color="auto"/>
            <w:bottom w:val="none" w:sz="0" w:space="0" w:color="auto"/>
            <w:right w:val="none" w:sz="0" w:space="0" w:color="auto"/>
          </w:divBdr>
        </w:div>
      </w:divsChild>
    </w:div>
    <w:div w:id="430900434">
      <w:bodyDiv w:val="1"/>
      <w:marLeft w:val="0"/>
      <w:marRight w:val="0"/>
      <w:marTop w:val="0"/>
      <w:marBottom w:val="0"/>
      <w:divBdr>
        <w:top w:val="none" w:sz="0" w:space="0" w:color="auto"/>
        <w:left w:val="none" w:sz="0" w:space="0" w:color="auto"/>
        <w:bottom w:val="none" w:sz="0" w:space="0" w:color="auto"/>
        <w:right w:val="none" w:sz="0" w:space="0" w:color="auto"/>
      </w:divBdr>
      <w:divsChild>
        <w:div w:id="1893035309">
          <w:marLeft w:val="432"/>
          <w:marRight w:val="0"/>
          <w:marTop w:val="0"/>
          <w:marBottom w:val="0"/>
          <w:divBdr>
            <w:top w:val="none" w:sz="0" w:space="0" w:color="auto"/>
            <w:left w:val="none" w:sz="0" w:space="0" w:color="auto"/>
            <w:bottom w:val="none" w:sz="0" w:space="0" w:color="auto"/>
            <w:right w:val="none" w:sz="0" w:space="0" w:color="auto"/>
          </w:divBdr>
        </w:div>
        <w:div w:id="2075925627">
          <w:marLeft w:val="432"/>
          <w:marRight w:val="0"/>
          <w:marTop w:val="0"/>
          <w:marBottom w:val="240"/>
          <w:divBdr>
            <w:top w:val="none" w:sz="0" w:space="0" w:color="auto"/>
            <w:left w:val="none" w:sz="0" w:space="0" w:color="auto"/>
            <w:bottom w:val="none" w:sz="0" w:space="0" w:color="auto"/>
            <w:right w:val="none" w:sz="0" w:space="0" w:color="auto"/>
          </w:divBdr>
        </w:div>
      </w:divsChild>
    </w:div>
    <w:div w:id="759719612">
      <w:bodyDiv w:val="1"/>
      <w:marLeft w:val="0"/>
      <w:marRight w:val="0"/>
      <w:marTop w:val="0"/>
      <w:marBottom w:val="0"/>
      <w:divBdr>
        <w:top w:val="none" w:sz="0" w:space="0" w:color="auto"/>
        <w:left w:val="none" w:sz="0" w:space="0" w:color="auto"/>
        <w:bottom w:val="none" w:sz="0" w:space="0" w:color="auto"/>
        <w:right w:val="none" w:sz="0" w:space="0" w:color="auto"/>
      </w:divBdr>
    </w:div>
    <w:div w:id="857084884">
      <w:bodyDiv w:val="1"/>
      <w:marLeft w:val="0"/>
      <w:marRight w:val="0"/>
      <w:marTop w:val="0"/>
      <w:marBottom w:val="0"/>
      <w:divBdr>
        <w:top w:val="none" w:sz="0" w:space="0" w:color="auto"/>
        <w:left w:val="none" w:sz="0" w:space="0" w:color="auto"/>
        <w:bottom w:val="none" w:sz="0" w:space="0" w:color="auto"/>
        <w:right w:val="none" w:sz="0" w:space="0" w:color="auto"/>
      </w:divBdr>
    </w:div>
    <w:div w:id="1111319678">
      <w:bodyDiv w:val="1"/>
      <w:marLeft w:val="0"/>
      <w:marRight w:val="0"/>
      <w:marTop w:val="0"/>
      <w:marBottom w:val="0"/>
      <w:divBdr>
        <w:top w:val="none" w:sz="0" w:space="0" w:color="auto"/>
        <w:left w:val="none" w:sz="0" w:space="0" w:color="auto"/>
        <w:bottom w:val="none" w:sz="0" w:space="0" w:color="auto"/>
        <w:right w:val="none" w:sz="0" w:space="0" w:color="auto"/>
      </w:divBdr>
    </w:div>
    <w:div w:id="1171718611">
      <w:bodyDiv w:val="1"/>
      <w:marLeft w:val="0"/>
      <w:marRight w:val="0"/>
      <w:marTop w:val="0"/>
      <w:marBottom w:val="0"/>
      <w:divBdr>
        <w:top w:val="none" w:sz="0" w:space="0" w:color="auto"/>
        <w:left w:val="none" w:sz="0" w:space="0" w:color="auto"/>
        <w:bottom w:val="none" w:sz="0" w:space="0" w:color="auto"/>
        <w:right w:val="none" w:sz="0" w:space="0" w:color="auto"/>
      </w:divBdr>
    </w:div>
    <w:div w:id="1203438122">
      <w:bodyDiv w:val="1"/>
      <w:marLeft w:val="0"/>
      <w:marRight w:val="0"/>
      <w:marTop w:val="0"/>
      <w:marBottom w:val="0"/>
      <w:divBdr>
        <w:top w:val="none" w:sz="0" w:space="0" w:color="auto"/>
        <w:left w:val="none" w:sz="0" w:space="0" w:color="auto"/>
        <w:bottom w:val="none" w:sz="0" w:space="0" w:color="auto"/>
        <w:right w:val="none" w:sz="0" w:space="0" w:color="auto"/>
      </w:divBdr>
    </w:div>
    <w:div w:id="1256675214">
      <w:bodyDiv w:val="1"/>
      <w:marLeft w:val="0"/>
      <w:marRight w:val="0"/>
      <w:marTop w:val="0"/>
      <w:marBottom w:val="0"/>
      <w:divBdr>
        <w:top w:val="none" w:sz="0" w:space="0" w:color="auto"/>
        <w:left w:val="none" w:sz="0" w:space="0" w:color="auto"/>
        <w:bottom w:val="none" w:sz="0" w:space="0" w:color="auto"/>
        <w:right w:val="none" w:sz="0" w:space="0" w:color="auto"/>
      </w:divBdr>
      <w:divsChild>
        <w:div w:id="1056931787">
          <w:marLeft w:val="446"/>
          <w:marRight w:val="0"/>
          <w:marTop w:val="0"/>
          <w:marBottom w:val="0"/>
          <w:divBdr>
            <w:top w:val="none" w:sz="0" w:space="0" w:color="auto"/>
            <w:left w:val="none" w:sz="0" w:space="0" w:color="auto"/>
            <w:bottom w:val="none" w:sz="0" w:space="0" w:color="auto"/>
            <w:right w:val="none" w:sz="0" w:space="0" w:color="auto"/>
          </w:divBdr>
        </w:div>
      </w:divsChild>
    </w:div>
    <w:div w:id="1257178793">
      <w:bodyDiv w:val="1"/>
      <w:marLeft w:val="0"/>
      <w:marRight w:val="0"/>
      <w:marTop w:val="0"/>
      <w:marBottom w:val="0"/>
      <w:divBdr>
        <w:top w:val="none" w:sz="0" w:space="0" w:color="auto"/>
        <w:left w:val="none" w:sz="0" w:space="0" w:color="auto"/>
        <w:bottom w:val="none" w:sz="0" w:space="0" w:color="auto"/>
        <w:right w:val="none" w:sz="0" w:space="0" w:color="auto"/>
      </w:divBdr>
      <w:divsChild>
        <w:div w:id="1755665842">
          <w:marLeft w:val="0"/>
          <w:marRight w:val="0"/>
          <w:marTop w:val="0"/>
          <w:marBottom w:val="0"/>
          <w:divBdr>
            <w:top w:val="none" w:sz="0" w:space="0" w:color="auto"/>
            <w:left w:val="none" w:sz="0" w:space="0" w:color="auto"/>
            <w:bottom w:val="none" w:sz="0" w:space="0" w:color="auto"/>
            <w:right w:val="none" w:sz="0" w:space="0" w:color="auto"/>
          </w:divBdr>
        </w:div>
        <w:div w:id="710881619">
          <w:marLeft w:val="0"/>
          <w:marRight w:val="0"/>
          <w:marTop w:val="0"/>
          <w:marBottom w:val="0"/>
          <w:divBdr>
            <w:top w:val="none" w:sz="0" w:space="0" w:color="auto"/>
            <w:left w:val="none" w:sz="0" w:space="0" w:color="auto"/>
            <w:bottom w:val="none" w:sz="0" w:space="0" w:color="auto"/>
            <w:right w:val="none" w:sz="0" w:space="0" w:color="auto"/>
          </w:divBdr>
          <w:divsChild>
            <w:div w:id="1030031531">
              <w:marLeft w:val="0"/>
              <w:marRight w:val="0"/>
              <w:marTop w:val="0"/>
              <w:marBottom w:val="0"/>
              <w:divBdr>
                <w:top w:val="none" w:sz="0" w:space="0" w:color="auto"/>
                <w:left w:val="none" w:sz="0" w:space="0" w:color="auto"/>
                <w:bottom w:val="none" w:sz="0" w:space="0" w:color="auto"/>
                <w:right w:val="none" w:sz="0" w:space="0" w:color="auto"/>
              </w:divBdr>
            </w:div>
            <w:div w:id="11142499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23461371">
      <w:bodyDiv w:val="1"/>
      <w:marLeft w:val="0"/>
      <w:marRight w:val="0"/>
      <w:marTop w:val="0"/>
      <w:marBottom w:val="0"/>
      <w:divBdr>
        <w:top w:val="none" w:sz="0" w:space="0" w:color="auto"/>
        <w:left w:val="none" w:sz="0" w:space="0" w:color="auto"/>
        <w:bottom w:val="none" w:sz="0" w:space="0" w:color="auto"/>
        <w:right w:val="none" w:sz="0" w:space="0" w:color="auto"/>
      </w:divBdr>
    </w:div>
    <w:div w:id="1431973855">
      <w:bodyDiv w:val="1"/>
      <w:marLeft w:val="0"/>
      <w:marRight w:val="0"/>
      <w:marTop w:val="0"/>
      <w:marBottom w:val="0"/>
      <w:divBdr>
        <w:top w:val="none" w:sz="0" w:space="0" w:color="auto"/>
        <w:left w:val="none" w:sz="0" w:space="0" w:color="auto"/>
        <w:bottom w:val="none" w:sz="0" w:space="0" w:color="auto"/>
        <w:right w:val="none" w:sz="0" w:space="0" w:color="auto"/>
      </w:divBdr>
    </w:div>
    <w:div w:id="1514219656">
      <w:bodyDiv w:val="1"/>
      <w:marLeft w:val="0"/>
      <w:marRight w:val="0"/>
      <w:marTop w:val="0"/>
      <w:marBottom w:val="0"/>
      <w:divBdr>
        <w:top w:val="none" w:sz="0" w:space="0" w:color="auto"/>
        <w:left w:val="none" w:sz="0" w:space="0" w:color="auto"/>
        <w:bottom w:val="none" w:sz="0" w:space="0" w:color="auto"/>
        <w:right w:val="none" w:sz="0" w:space="0" w:color="auto"/>
      </w:divBdr>
    </w:div>
    <w:div w:id="1636183999">
      <w:bodyDiv w:val="1"/>
      <w:marLeft w:val="0"/>
      <w:marRight w:val="0"/>
      <w:marTop w:val="0"/>
      <w:marBottom w:val="0"/>
      <w:divBdr>
        <w:top w:val="none" w:sz="0" w:space="0" w:color="auto"/>
        <w:left w:val="none" w:sz="0" w:space="0" w:color="auto"/>
        <w:bottom w:val="none" w:sz="0" w:space="0" w:color="auto"/>
        <w:right w:val="none" w:sz="0" w:space="0" w:color="auto"/>
      </w:divBdr>
    </w:div>
    <w:div w:id="1745686728">
      <w:bodyDiv w:val="1"/>
      <w:marLeft w:val="0"/>
      <w:marRight w:val="0"/>
      <w:marTop w:val="0"/>
      <w:marBottom w:val="0"/>
      <w:divBdr>
        <w:top w:val="none" w:sz="0" w:space="0" w:color="auto"/>
        <w:left w:val="none" w:sz="0" w:space="0" w:color="auto"/>
        <w:bottom w:val="none" w:sz="0" w:space="0" w:color="auto"/>
        <w:right w:val="none" w:sz="0" w:space="0" w:color="auto"/>
      </w:divBdr>
      <w:divsChild>
        <w:div w:id="795410509">
          <w:marLeft w:val="547"/>
          <w:marRight w:val="0"/>
          <w:marTop w:val="0"/>
          <w:marBottom w:val="120"/>
          <w:divBdr>
            <w:top w:val="none" w:sz="0" w:space="0" w:color="auto"/>
            <w:left w:val="none" w:sz="0" w:space="0" w:color="auto"/>
            <w:bottom w:val="none" w:sz="0" w:space="0" w:color="auto"/>
            <w:right w:val="none" w:sz="0" w:space="0" w:color="auto"/>
          </w:divBdr>
        </w:div>
        <w:div w:id="535241897">
          <w:marLeft w:val="547"/>
          <w:marRight w:val="0"/>
          <w:marTop w:val="0"/>
          <w:marBottom w:val="120"/>
          <w:divBdr>
            <w:top w:val="none" w:sz="0" w:space="0" w:color="auto"/>
            <w:left w:val="none" w:sz="0" w:space="0" w:color="auto"/>
            <w:bottom w:val="none" w:sz="0" w:space="0" w:color="auto"/>
            <w:right w:val="none" w:sz="0" w:space="0" w:color="auto"/>
          </w:divBdr>
        </w:div>
      </w:divsChild>
    </w:div>
    <w:div w:id="1785729474">
      <w:bodyDiv w:val="1"/>
      <w:marLeft w:val="0"/>
      <w:marRight w:val="0"/>
      <w:marTop w:val="0"/>
      <w:marBottom w:val="0"/>
      <w:divBdr>
        <w:top w:val="none" w:sz="0" w:space="0" w:color="auto"/>
        <w:left w:val="none" w:sz="0" w:space="0" w:color="auto"/>
        <w:bottom w:val="none" w:sz="0" w:space="0" w:color="auto"/>
        <w:right w:val="none" w:sz="0" w:space="0" w:color="auto"/>
      </w:divBdr>
      <w:divsChild>
        <w:div w:id="566302838">
          <w:marLeft w:val="547"/>
          <w:marRight w:val="0"/>
          <w:marTop w:val="0"/>
          <w:marBottom w:val="0"/>
          <w:divBdr>
            <w:top w:val="none" w:sz="0" w:space="0" w:color="auto"/>
            <w:left w:val="none" w:sz="0" w:space="0" w:color="auto"/>
            <w:bottom w:val="none" w:sz="0" w:space="0" w:color="auto"/>
            <w:right w:val="none" w:sz="0" w:space="0" w:color="auto"/>
          </w:divBdr>
        </w:div>
      </w:divsChild>
    </w:div>
    <w:div w:id="1792550157">
      <w:bodyDiv w:val="1"/>
      <w:marLeft w:val="0"/>
      <w:marRight w:val="0"/>
      <w:marTop w:val="0"/>
      <w:marBottom w:val="0"/>
      <w:divBdr>
        <w:top w:val="none" w:sz="0" w:space="0" w:color="auto"/>
        <w:left w:val="none" w:sz="0" w:space="0" w:color="auto"/>
        <w:bottom w:val="none" w:sz="0" w:space="0" w:color="auto"/>
        <w:right w:val="none" w:sz="0" w:space="0" w:color="auto"/>
      </w:divBdr>
    </w:div>
    <w:div w:id="1852258415">
      <w:bodyDiv w:val="1"/>
      <w:marLeft w:val="0"/>
      <w:marRight w:val="0"/>
      <w:marTop w:val="0"/>
      <w:marBottom w:val="0"/>
      <w:divBdr>
        <w:top w:val="none" w:sz="0" w:space="0" w:color="auto"/>
        <w:left w:val="none" w:sz="0" w:space="0" w:color="auto"/>
        <w:bottom w:val="none" w:sz="0" w:space="0" w:color="auto"/>
        <w:right w:val="none" w:sz="0" w:space="0" w:color="auto"/>
      </w:divBdr>
    </w:div>
    <w:div w:id="1916164900">
      <w:bodyDiv w:val="1"/>
      <w:marLeft w:val="0"/>
      <w:marRight w:val="0"/>
      <w:marTop w:val="0"/>
      <w:marBottom w:val="0"/>
      <w:divBdr>
        <w:top w:val="none" w:sz="0" w:space="0" w:color="auto"/>
        <w:left w:val="none" w:sz="0" w:space="0" w:color="auto"/>
        <w:bottom w:val="none" w:sz="0" w:space="0" w:color="auto"/>
        <w:right w:val="none" w:sz="0" w:space="0" w:color="auto"/>
      </w:divBdr>
    </w:div>
    <w:div w:id="1919712365">
      <w:bodyDiv w:val="1"/>
      <w:marLeft w:val="0"/>
      <w:marRight w:val="0"/>
      <w:marTop w:val="0"/>
      <w:marBottom w:val="0"/>
      <w:divBdr>
        <w:top w:val="none" w:sz="0" w:space="0" w:color="auto"/>
        <w:left w:val="none" w:sz="0" w:space="0" w:color="auto"/>
        <w:bottom w:val="none" w:sz="0" w:space="0" w:color="auto"/>
        <w:right w:val="none" w:sz="0" w:space="0" w:color="auto"/>
      </w:divBdr>
    </w:div>
    <w:div w:id="1964581561">
      <w:bodyDiv w:val="1"/>
      <w:marLeft w:val="0"/>
      <w:marRight w:val="0"/>
      <w:marTop w:val="0"/>
      <w:marBottom w:val="0"/>
      <w:divBdr>
        <w:top w:val="none" w:sz="0" w:space="0" w:color="auto"/>
        <w:left w:val="none" w:sz="0" w:space="0" w:color="auto"/>
        <w:bottom w:val="none" w:sz="0" w:space="0" w:color="auto"/>
        <w:right w:val="none" w:sz="0" w:space="0" w:color="auto"/>
      </w:divBdr>
      <w:divsChild>
        <w:div w:id="207882071">
          <w:marLeft w:val="547"/>
          <w:marRight w:val="0"/>
          <w:marTop w:val="0"/>
          <w:marBottom w:val="0"/>
          <w:divBdr>
            <w:top w:val="none" w:sz="0" w:space="0" w:color="auto"/>
            <w:left w:val="none" w:sz="0" w:space="0" w:color="auto"/>
            <w:bottom w:val="none" w:sz="0" w:space="0" w:color="auto"/>
            <w:right w:val="none" w:sz="0" w:space="0" w:color="auto"/>
          </w:divBdr>
        </w:div>
        <w:div w:id="6821274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cor.europa.eu/fr/news/Pages/Spearheading-climate-action-with-the-CoR-and-the-Covenant-of-Mayors-.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rg4sd.org/climate-change/regionsadap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climate-adapt.eea.europa.eu/" TargetMode="External"/><Relationship Id="rId25" Type="http://schemas.openxmlformats.org/officeDocument/2006/relationships/hyperlink" Target="http://www.eumayors.eu/IMG/xls/SECAP_Template_EN.xls" TargetMode="External"/><Relationship Id="rId33" Type="http://schemas.openxmlformats.org/officeDocument/2006/relationships/theme" Target="theme/theme1.xml"/><Relationship Id="rId46"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urbanagendaforthe.eu/partnerships/" TargetMode="External"/><Relationship Id="rId20" Type="http://schemas.openxmlformats.org/officeDocument/2006/relationships/hyperlink" Target="https://ec.europa.eu/info/eu-regional-and-urban-development/cit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climate-adapt.eea.europa.eu/eu-adaptation-policy/strategy/index_html/resolveuid/38ed3457cafb447596ddbeba2811465f" TargetMode="External"/><Relationship Id="rId32" Type="http://schemas.openxmlformats.org/officeDocument/2006/relationships/fontTable" Target="fontTable.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covenantofmayors.eu/" TargetMode="External"/><Relationship Id="rId23" Type="http://schemas.openxmlformats.org/officeDocument/2006/relationships/hyperlink" Target="http://www.unisdr.org/campaign/resilientcities/"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ec.europa.eu/regional_policy/en/policy/themes/urban-development/portal/" TargetMode="External"/><Relationship Id="rId31" Type="http://schemas.openxmlformats.org/officeDocument/2006/relationships/footer" Target="footer3.xml"/><Relationship Id="rId44" Type="http://schemas.microsoft.com/office/2011/relationships/commentsExtended" Target="commentsExtended.xml"/><Relationship Id="rId30"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under2mou.org/" TargetMode="External"/><Relationship Id="rId27" Type="http://schemas.openxmlformats.org/officeDocument/2006/relationships/header" Target="header2.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CORWEB-1797567310-292</_dlc_DocId>
    <_dlc_DocIdUrl xmlns="61ca3f1a-19f4-461d-a43b-0b5ad97b08be">
      <Url>https://prod-portal.cor.europa.eu/_layouts/15/DocIdRedir.aspx?ID=CORWEB-1797567310-292</Url>
      <Description>CORWEB-1797567310-292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1CBA3A448C9B84CB5D8D0AADBC50E3A" ma:contentTypeVersion="4" ma:contentTypeDescription="Defines the documents for Document Manager V2" ma:contentTypeScope="" ma:versionID="3c9bbae1049ddc60a55b83bca89bb6f6">
  <xsd:schema xmlns:xsd="http://www.w3.org/2001/XMLSchema" xmlns:xs="http://www.w3.org/2001/XMLSchema" xmlns:p="http://schemas.microsoft.com/office/2006/metadata/properties" xmlns:ns2="57ac29de-03e1-4faa-aad6-90f7f21c01ea" xmlns:ns3="http://schemas.microsoft.com/sharepoint/v3/fields" xmlns:ns4="1da97fb7-2db4-491a-b2cf-98d679b9f1c8" targetNamespace="http://schemas.microsoft.com/office/2006/metadata/properties" ma:root="true" ma:fieldsID="5a4c88fadc92fa730e0012bdb51d96f5" ns2:_="" ns3:_="" ns4:_="">
    <xsd:import namespace="57ac29de-03e1-4faa-aad6-90f7f21c01ea"/>
    <xsd:import namespace="http://schemas.microsoft.com/sharepoint/v3/fields"/>
    <xsd:import namespace="1da97fb7-2db4-491a-b2cf-98d679b9f1c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a97fb7-2db4-491a-b2cf-98d679b9f1c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B608C-8838-4023-9B49-0E3FC182172A}"/>
</file>

<file path=customXml/itemProps2.xml><?xml version="1.0" encoding="utf-8"?>
<ds:datastoreItem xmlns:ds="http://schemas.openxmlformats.org/officeDocument/2006/customXml" ds:itemID="{CDE9EE3F-0793-4B76-8ED1-784E12BD7FC8}"/>
</file>

<file path=customXml/itemProps3.xml><?xml version="1.0" encoding="utf-8"?>
<ds:datastoreItem xmlns:ds="http://schemas.openxmlformats.org/officeDocument/2006/customXml" ds:itemID="{A30456D6-0298-4BE2-9DD3-10D372EE02C9}"/>
</file>

<file path=customXml/itemProps4.xml><?xml version="1.0" encoding="utf-8"?>
<ds:datastoreItem xmlns:ds="http://schemas.openxmlformats.org/officeDocument/2006/customXml" ds:itemID="{622B920A-16A0-4B5D-BF95-300AB9FF2BD9}"/>
</file>

<file path=customXml/itemProps5.xml><?xml version="1.0" encoding="utf-8"?>
<ds:datastoreItem xmlns:ds="http://schemas.openxmlformats.org/officeDocument/2006/customXml" ds:itemID="{81957B28-8C16-4942-85BD-48D0896F129E}"/>
</file>

<file path=customXml/itemProps6.xml><?xml version="1.0" encoding="utf-8"?>
<ds:datastoreItem xmlns:ds="http://schemas.openxmlformats.org/officeDocument/2006/customXml" ds:itemID="{B1B9EB8E-260B-42A8-A192-C36661D0B8C8}"/>
</file>

<file path=docProps/app.xml><?xml version="1.0" encoding="utf-8"?>
<Properties xmlns="http://schemas.openxmlformats.org/officeDocument/2006/extended-properties" xmlns:vt="http://schemas.openxmlformats.org/officeDocument/2006/docPropsVTypes">
  <Template>Styles.dotm</Template>
  <TotalTime>0</TotalTime>
  <Pages>3</Pages>
  <Words>3936</Words>
  <Characters>23140</Characters>
  <Application>Microsoft Office Word</Application>
  <DocSecurity>0</DocSecurity>
  <Lines>455</Lines>
  <Paragraphs>111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Towards a new EU climate change adaptation strategy   – taking an integrated approach</vt:lpstr>
      <vt:lpstr>Towards a new EU climate change adaptation strategy – taking an integrated approach</vt:lpstr>
      <vt:lpstr>Towards a new EU climate change adaptation strategy – taking an integrated approach</vt:lpstr>
    </vt:vector>
  </TitlesOfParts>
  <Company>CESE-CdR</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new EU climate change adaptation strategy   – taking an integrated approach</dc:title>
  <dc:subject>Committee opinion</dc:subject>
  <dc:creator/>
  <cp:keywords>COR-2016-02430-00-00-AC-TRA-EN</cp:keywords>
  <dc:description>Rapporteur: HERTELL</dc:description>
  <cp:lastModifiedBy>Marek Regulski</cp:lastModifiedBy>
  <cp:revision>3</cp:revision>
  <cp:lastPrinted>2016-08-12T08:41:00Z</cp:lastPrinted>
  <dcterms:created xsi:type="dcterms:W3CDTF">2017-05-23T14:16:00Z</dcterms:created>
  <dcterms:modified xsi:type="dcterms:W3CDTF">2017-05-23T14:16:00Z</dcterms:modified>
  <cp:category>ENVE-VI/015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Pref_formatted">
    <vt:bool>true</vt:bool>
  </property>
  <property fmtid="{D5CDD505-2E9C-101B-9397-08002B2CF9AE}" pid="7" name="Pref_Date">
    <vt:lpwstr>10/02/2017, 10/02/2017, 13/12/2016, 08/12/2016, 06/12/2016, 06/12/2016, 05/12/2016, 08/11/2016, 08/11/2016, 04/11/2016, 04/11/2016, 21/09/2016, 21/09/2016, 29/10/2015, 29/10/2015, 29/10/2015</vt:lpwstr>
  </property>
  <property fmtid="{D5CDD505-2E9C-101B-9397-08002B2CF9AE}" pid="8" name="Pref_Time">
    <vt:lpwstr>15:16:57, 15:05:16, 12:14:53, 17:12:46, 10:32:41, 09:45:10, 18:17:58, 15:41:13, 14:42:03, 12:07:32, 11:25:35, 12:29:52, 11:05:32, 15:04:40, 14:36:38, 14:33:04</vt:lpwstr>
  </property>
  <property fmtid="{D5CDD505-2E9C-101B-9397-08002B2CF9AE}" pid="9" name="Pref_User">
    <vt:lpwstr>enied, hnic, enied, mreg, mreg, mreg, nmcg, enied, ssex, enied, ssex, mkop, ssex, tvoc, mkop, mkop</vt:lpwstr>
  </property>
  <property fmtid="{D5CDD505-2E9C-101B-9397-08002B2CF9AE}" pid="10" name="Pref_FileName">
    <vt:lpwstr>COR-2016-02430-00-00-AC-TRA-EN-CRR.docx, COR-2016-02430-00-00-AC-CRR-EN.docx, COR-2016-02430-00-02-PAC-ORI.docx, COR-2016-02430-00-01-PAC-ORI.docx, COR-2016-02430-00-00-PAC-TRA-EN-CRR_2.docx, COR-2016-02430-00-00-PAC-TRA-EN-CRR.docx, COR-2016-02430-00-00-</vt:lpwstr>
  </property>
  <property fmtid="{D5CDD505-2E9C-101B-9397-08002B2CF9AE}" pid="11" name="StyleCheckSum">
    <vt:lpwstr>45307_C8172_P80_L19</vt:lpwstr>
  </property>
  <property fmtid="{D5CDD505-2E9C-101B-9397-08002B2CF9AE}" pid="12" name="ContentTypeId">
    <vt:lpwstr>0x01010064360DDFD731024BAA75100660303E4E</vt:lpwstr>
  </property>
  <property fmtid="{D5CDD505-2E9C-101B-9397-08002B2CF9AE}" pid="13" name="_dlc_DocIdItemGuid">
    <vt:lpwstr>7e675d2c-f756-4fad-8050-3ba5970e5c4e</vt:lpwstr>
  </property>
  <property fmtid="{D5CDD505-2E9C-101B-9397-08002B2CF9AE}" pid="14" name="MeetingNumber">
    <vt:i4>121</vt:i4>
  </property>
  <property fmtid="{D5CDD505-2E9C-101B-9397-08002B2CF9AE}" pid="15" name="DocumentType_0">
    <vt:lpwstr>AC|a4cc1d15-fb08-4679-ad46-e4e0cba5fe92</vt:lpwstr>
  </property>
  <property fmtid="{D5CDD505-2E9C-101B-9397-08002B2CF9AE}" pid="16" name="AvailableTranslations">
    <vt:lpwstr>24;#SK|46d9fce0-ef79-4f71-b89b-cd6aa82426b8;#38;#PT|50ccc04a-eadd-42ae-a0cb-acaf45f812ba;#9;#ES|e7a6b05b-ae16-40c8-add9-68b64b03aeba;#18;#NL|55c6556c-b4f4-441d-9acf-c498d4f838bd;#19;#EL|6d4f4d51-af9b-4650-94b4-4276bee85c91;#17;#DE|f6b31e5a-26fa-4935-b661-318e46daf27e;#33;#FI|87606a43-d45f-42d6-b8c9-e1a3457db5b7;#35;#CS|72f9705b-0217-4fd3-bea2-cbc7ed80e26e;#11;#FR|d2afafd3-4c81-4f60-8f52-ee33f2f54ff3;#22;#RO|feb747a2-64cd-4299-af12-4833ddc30497;#28;#LT|a7ff5ce7-6123-4f68-865a-a57c31810414;#31;#LV|46f7e311-5d9f-4663-b433-18aeccb7ace7;#37;#BG|1a1b3951-7821-4e6a-85f5-5673fc08bd2c;#20;#IT|0774613c-01ed-4e5d-a25d-11d2388de825;#21;#HR|2f555653-ed1a-4fe6-8362-9082d95989e5;#25;#SL|98a412ae-eb01-49e9-ae3d-585a81724cfc;#27;#DA|5d49c027-8956-412b-aa16-e85a0f96ad0e;#34;#HU|6b229040-c589-4408-b4c1-4285663d20a8;#29;#MT|7df99101-6854-4a26-b53a-b88c0da02c26;#23;#PL|1e03da61-4678-4e07-b136-b5024ca9197b;#4;#EN|f2175f21-25d7-44a3-96da-d6a61b075e1b;#32;#SV|c2ed69e7-a339-43d7-8f22-d93680a92aa0;#36;#ET|ff6c3f4c-b02c-4c3c-ab07-2c37995a7a0a</vt:lpwstr>
  </property>
  <property fmtid="{D5CDD505-2E9C-101B-9397-08002B2CF9AE}" pid="17" name="DossierName_0">
    <vt:lpwstr>ENVE-VI|d373ce99-bdea-42ca-a460-a47755e20365</vt:lpwstr>
  </property>
  <property fmtid="{D5CDD505-2E9C-101B-9397-08002B2CF9AE}" pid="18" name="DocumentSource_0">
    <vt:lpwstr>CoR|cb2d75ef-4a7d-4393-b797-49ed6298a5ea</vt:lpwstr>
  </property>
  <property fmtid="{D5CDD505-2E9C-101B-9397-08002B2CF9AE}" pid="19" name="FicheYear">
    <vt:i4>2017</vt:i4>
  </property>
  <property fmtid="{D5CDD505-2E9C-101B-9397-08002B2CF9AE}" pid="20" name="DocumentNumber">
    <vt:i4>2430</vt:i4>
  </property>
  <property fmtid="{D5CDD505-2E9C-101B-9397-08002B2CF9AE}" pid="21" name="DocumentVersion">
    <vt:i4>0</vt:i4>
  </property>
  <property fmtid="{D5CDD505-2E9C-101B-9397-08002B2CF9AE}" pid="22" name="DossierNumber">
    <vt:i4>15</vt:i4>
  </property>
  <property fmtid="{D5CDD505-2E9C-101B-9397-08002B2CF9AE}" pid="23" name="DocumentStatus">
    <vt:lpwstr>2;#TRA|150d2a88-1431-44e6-a8ca-0bb753ab8672</vt:lpwstr>
  </property>
  <property fmtid="{D5CDD505-2E9C-101B-9397-08002B2CF9AE}" pid="24" name="DossierName">
    <vt:lpwstr>66;#ENVE-VI|d373ce99-bdea-42ca-a460-a47755e20365</vt:lpwstr>
  </property>
  <property fmtid="{D5CDD505-2E9C-101B-9397-08002B2CF9AE}" pid="25" name="RequestingService">
    <vt:lpwstr>Commission ENVE</vt:lpwstr>
  </property>
  <property fmtid="{D5CDD505-2E9C-101B-9397-08002B2CF9AE}" pid="26" name="Confidentiality">
    <vt:lpwstr>5;#Unrestricted|826e22d7-d029-4ec0-a450-0c28ff673572</vt:lpwstr>
  </property>
  <property fmtid="{D5CDD505-2E9C-101B-9397-08002B2CF9AE}" pid="27" name="Confidentiality_0">
    <vt:lpwstr>Unrestricted|826e22d7-d029-4ec0-a450-0c28ff673572</vt:lpwstr>
  </property>
  <property fmtid="{D5CDD505-2E9C-101B-9397-08002B2CF9AE}" pid="28" name="MeetingName_0">
    <vt:lpwstr/>
  </property>
  <property fmtid="{D5CDD505-2E9C-101B-9397-08002B2CF9AE}" pid="29" name="OriginalLanguage">
    <vt:lpwstr>4;#EN|f2175f21-25d7-44a3-96da-d6a61b075e1b</vt:lpwstr>
  </property>
  <property fmtid="{D5CDD505-2E9C-101B-9397-08002B2CF9AE}" pid="30" name="MeetingName">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93;#AC|a4cc1d15-fb08-4679-ad46-e4e0cba5fe92;#23;#PL|1e03da61-4678-4e07-b136-b5024ca9197b;#38;#PT|50ccc04a-eadd-42ae-a0cb-acaf45f812ba;#37;#BG|1a1b3951-7821-4e6a-85f5-5673fc08bd2c;#36;#ET|ff6c3f4c-b02c-4c3c-ab07-2c37995a7a0a;#35;#CS|72f9705b-0217-4fd3-bea2-cbc7ed80e26e;#34;#HU|6b229040-c589-4408-b4c1-4285663d20a8;#33;#FI|87606a43-d45f-42d6-b8c9-e1a3457db5b7;#32;#SV|c2ed69e7-a339-43d7-8f22-d93680a92aa0;#31;#LV|46f7e311-5d9f-4663-b433-18aeccb7ace7;#29;#MT|7df99101-6854-4a26-b53a-b88c0da02c26;#28;#LT|a7ff5ce7-6123-4f68-865a-a57c31810414;#27;#DA|5d49c027-8956-412b-aa16-e85a0f96ad0e;#25;#SL|98a412ae-eb01-49e9-ae3d-585a81724cfc;#24;#SK|46d9fce0-ef79-4f71-b89b-cd6aa82426b8;#66;#ENVE-VI|d373ce99-bdea-42ca-a460-a47755e20365;#22;#RO|feb747a2-64cd-4299-af12-4833ddc30497;#21;#HR|2f555653-ed1a-4fe6-8362-9082d95989e5;#20;#IT|0774613c-01ed-4e5d-a25d-11d2388de825;#19;#EL|6d4f4d51-af9b-4650-94b4-4276bee85c91;#18;#NL|55c6556c-b4f4-441d-9acf-c498d4f838bd;#17;#DE|f6b31e5a-26fa-4935-b661-318e46daf27e;#11;#FR|d2afafd3-4c81-4f60-8f52-ee33f2f54ff3;#9;#ES|e7a6b05b-ae16-40c8-add9-68b64b03aeba;#6;#Final|ea5e6674-7b27-4bac-b091-73adbb394efe;#5;#Unrestricted|826e22d7-d029-4ec0-a450-0c28ff673572;#4;#EN|f2175f21-25d7-44a3-96da-d6a61b075e1b;#2;#TRA|150d2a88-1431-44e6-a8ca-0bb753ab8672;#1;#CoR|cb2d75ef-4a7d-4393-b797-49ed6298a5ea</vt:lpwstr>
  </property>
  <property fmtid="{D5CDD505-2E9C-101B-9397-08002B2CF9AE}" pid="34" name="AvailableTranslations_0">
    <vt:lpwstr>SK|46d9fce0-ef79-4f71-b89b-cd6aa82426b8;PT|50ccc04a-eadd-42ae-a0cb-acaf45f812ba;ES|e7a6b05b-ae16-40c8-add9-68b64b03aeba;NL|55c6556c-b4f4-441d-9acf-c498d4f838bd;EL|6d4f4d51-af9b-4650-94b4-4276bee85c91;DE|f6b31e5a-26fa-4935-b661-318e46daf27e;FI|87606a43-d45f-42d6-b8c9-e1a3457db5b7;CS|72f9705b-0217-4fd3-bea2-cbc7ed80e26e;FR|d2afafd3-4c81-4f60-8f52-ee33f2f54ff3;RO|feb747a2-64cd-4299-af12-4833ddc30497;LT|a7ff5ce7-6123-4f68-865a-a57c31810414;LV|46f7e311-5d9f-4663-b433-18aeccb7ace7;BG|1a1b3951-7821-4e6a-85f5-5673fc08bd2c;IT|0774613c-01ed-4e5d-a25d-11d2388de825;HR|2f555653-ed1a-4fe6-8362-9082d95989e5;SL|98a412ae-eb01-49e9-ae3d-585a81724cfc;DA|5d49c027-8956-412b-aa16-e85a0f96ad0e;HU|6b229040-c589-4408-b4c1-4285663d20a8;MT|7df99101-6854-4a26-b53a-b88c0da02c26;PL|1e03da61-4678-4e07-b136-b5024ca9197b;EN|f2175f21-25d7-44a3-96da-d6a61b075e1b;SV|c2ed69e7-a339-43d7-8f22-d93680a92aa0;ET|ff6c3f4c-b02c-4c3c-ab07-2c37995a7a0a</vt:lpwstr>
  </property>
  <property fmtid="{D5CDD505-2E9C-101B-9397-08002B2CF9AE}" pid="35" name="VersionStatus">
    <vt:lpwstr>6;#Final|ea5e6674-7b27-4bac-b091-73adbb394efe</vt:lpwstr>
  </property>
  <property fmtid="{D5CDD505-2E9C-101B-9397-08002B2CF9AE}" pid="36" name="Rapporteur">
    <vt:lpwstr>HERTELL</vt:lpwstr>
  </property>
  <property fmtid="{D5CDD505-2E9C-101B-9397-08002B2CF9AE}" pid="37" name="VersionStatus_0">
    <vt:lpwstr>Final|ea5e6674-7b27-4bac-b091-73adbb394efe</vt:lpwstr>
  </property>
  <property fmtid="{D5CDD505-2E9C-101B-9397-08002B2CF9AE}" pid="38" name="FicheNumber">
    <vt:i4>891</vt:i4>
  </property>
  <property fmtid="{D5CDD505-2E9C-101B-9397-08002B2CF9AE}" pid="39" name="DocumentYear">
    <vt:i4>2016</vt:i4>
  </property>
  <property fmtid="{D5CDD505-2E9C-101B-9397-08002B2CF9AE}" pid="40" name="DocumentType">
    <vt:lpwstr>93;#AC|a4cc1d15-fb08-4679-ad46-e4e0cba5fe92</vt:lpwstr>
  </property>
  <property fmtid="{D5CDD505-2E9C-101B-9397-08002B2CF9AE}" pid="41" name="DocumentSource">
    <vt:lpwstr>1;#CoR|cb2d75ef-4a7d-4393-b797-49ed6298a5ea</vt:lpwstr>
  </property>
  <property fmtid="{D5CDD505-2E9C-101B-9397-08002B2CF9AE}" pid="42" name="DocumentPart">
    <vt:i4>0</vt:i4>
  </property>
  <property fmtid="{D5CDD505-2E9C-101B-9397-08002B2CF9AE}" pid="43" name="DocumentLanguage">
    <vt:lpwstr>4;#EN|f2175f21-25d7-44a3-96da-d6a61b075e1b</vt:lpwstr>
  </property>
  <property fmtid="{D5CDD505-2E9C-101B-9397-08002B2CF9AE}" pid="44" name="DocumentLanguage_0">
    <vt:lpwstr>EN|f2175f21-25d7-44a3-96da-d6a61b075e1b</vt:lpwstr>
  </property>
  <property fmtid="{D5CDD505-2E9C-101B-9397-08002B2CF9AE}" pid="45" name="ProductionDate">
    <vt:filetime>2016-11-08T12:00:00Z</vt:filetime>
  </property>
  <property fmtid="{D5CDD505-2E9C-101B-9397-08002B2CF9AE}" pid="46" name="AdoptionDate">
    <vt:filetime>2017-02-09T12:00:00Z</vt:filetime>
  </property>
  <property fmtid="{D5CDD505-2E9C-101B-9397-08002B2CF9AE}" pid="47" name="CorWebDocumentType">
    <vt:lpwstr/>
  </property>
  <property fmtid="{D5CDD505-2E9C-101B-9397-08002B2CF9AE}" pid="48" name="CorWebTheme">
    <vt:lpwstr/>
  </property>
  <property fmtid="{D5CDD505-2E9C-101B-9397-08002B2CF9AE}" pid="49" name="CorWebLanguage">
    <vt:lpwstr>1;#English|d891bae6-a181-4e69-b044-89dc4f0c00db</vt:lpwstr>
  </property>
  <property fmtid="{D5CDD505-2E9C-101B-9397-08002B2CF9AE}" pid="50" name="CorWebKeywords">
    <vt:lpwstr>5;#n/a|2bcac9cb-2425-4ce8-86ec-60404e541967</vt:lpwstr>
  </property>
  <property fmtid="{D5CDD505-2E9C-101B-9397-08002B2CF9AE}" pid="51" name="Order">
    <vt:r8>242900</vt:r8>
  </property>
  <property fmtid="{D5CDD505-2E9C-101B-9397-08002B2CF9AE}" pid="52" name="CorWebDocumentSetLabel">
    <vt:lpwstr/>
  </property>
  <property fmtid="{D5CDD505-2E9C-101B-9397-08002B2CF9AE}" pid="53" name="xd_ProgID">
    <vt:lpwstr/>
  </property>
  <property fmtid="{D5CDD505-2E9C-101B-9397-08002B2CF9AE}" pid="55" name="DocumentSetDescription">
    <vt:lpwstr/>
  </property>
  <property fmtid="{D5CDD505-2E9C-101B-9397-08002B2CF9AE}" pid="56" name="_SourceUrl">
    <vt:lpwstr/>
  </property>
  <property fmtid="{D5CDD505-2E9C-101B-9397-08002B2CF9AE}" pid="57" name="_SharedFileIndex">
    <vt:lpwstr/>
  </property>
  <property fmtid="{D5CDD505-2E9C-101B-9397-08002B2CF9AE}" pid="58" name="CorWebIncaFolderReference">
    <vt:lpwstr/>
  </property>
  <property fmtid="{D5CDD505-2E9C-101B-9397-08002B2CF9AE}" pid="59" name="Date of document">
    <vt:lpwstr>23/05/2017</vt:lpwstr>
  </property>
  <property fmtid="{D5CDD505-2E9C-101B-9397-08002B2CF9AE}" pid="60" name="External documents">
    <vt:lpwstr>-</vt:lpwstr>
  </property>
  <property fmtid="{D5CDD505-2E9C-101B-9397-08002B2CF9AE}" pid="61" name="TemplateUrl">
    <vt:lpwstr/>
  </property>
  <property fmtid="{D5CDD505-2E9C-101B-9397-08002B2CF9AE}" pid="62" name="Administrator responsible">
    <vt:lpwstr>Di Pietrantonio Nicola, telephone: + 2 282 2106</vt:lpwstr>
  </property>
  <property fmtid="{D5CDD505-2E9C-101B-9397-08002B2CF9AE}" pid="64" name="xd_Signature">
    <vt:bool>false</vt:bool>
  </property>
  <property fmtid="{D5CDD505-2E9C-101B-9397-08002B2CF9AE}" pid="65" name="Original language">
    <vt:lpwstr>EN</vt:lpwstr>
  </property>
</Properties>
</file>